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0" w:lineRule="exact"/>
        <w:rPr>
          <w:sz w:val="24"/>
          <w:szCs w:val="24"/>
          <w:color w:val="auto"/>
        </w:rPr>
      </w:pPr>
    </w:p>
    <w:p>
      <w:pPr>
        <w:spacing w:after="0" w:line="204" w:lineRule="exact"/>
        <w:rPr>
          <w:sz w:val="24"/>
          <w:szCs w:val="24"/>
          <w:color w:val="auto"/>
        </w:rPr>
      </w:pPr>
    </w:p>
    <w:p>
      <w:pPr>
        <w:spacing w:after="0"/>
        <w:tabs>
          <w:tab w:leader="none" w:pos="8380" w:val="left"/>
        </w:tabs>
        <w:rPr>
          <w:sz w:val="20"/>
          <w:szCs w:val="20"/>
          <w:color w:val="auto"/>
        </w:rPr>
      </w:pPr>
      <w:r>
        <w:rPr>
          <w:rFonts w:ascii="Arial" w:cs="Arial" w:eastAsia="Arial" w:hAnsi="Arial"/>
          <w:sz w:val="22"/>
          <w:szCs w:val="22"/>
          <w:color w:val="auto"/>
        </w:rPr>
        <w:t>For the quarterly period ended June 30, 2012</w:t>
      </w:r>
      <w:r>
        <w:rPr>
          <w:sz w:val="20"/>
          <w:szCs w:val="20"/>
          <w:color w:val="auto"/>
        </w:rPr>
        <w:tab/>
      </w:r>
      <w:r>
        <w:rPr>
          <w:rFonts w:ascii="Arial" w:cs="Arial" w:eastAsia="Arial" w:hAnsi="Arial"/>
          <w:sz w:val="19"/>
          <w:szCs w:val="19"/>
          <w:color w:val="auto"/>
        </w:rPr>
        <w:t>Commission File Number 0-18761</w:t>
      </w: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MONSTER BEVERAGE CORPORATION</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0" w:lineRule="exact"/>
        <w:rPr>
          <w:sz w:val="24"/>
          <w:szCs w:val="24"/>
          <w:color w:val="auto"/>
        </w:rPr>
      </w:pPr>
    </w:p>
    <w:p>
      <w:pPr>
        <w:spacing w:after="0" w:line="205" w:lineRule="exact"/>
        <w:rPr>
          <w:sz w:val="24"/>
          <w:szCs w:val="24"/>
          <w:color w:val="auto"/>
        </w:rPr>
      </w:pPr>
    </w:p>
    <w:p>
      <w:pPr>
        <w:ind w:left="2480"/>
        <w:spacing w:after="0"/>
        <w:tabs>
          <w:tab w:leader="none" w:pos="6840" w:val="left"/>
        </w:tabs>
        <w:rPr>
          <w:sz w:val="20"/>
          <w:szCs w:val="20"/>
          <w:color w:val="auto"/>
        </w:rPr>
      </w:pPr>
      <w:r>
        <w:rPr>
          <w:rFonts w:ascii="Arial" w:cs="Arial" w:eastAsia="Arial" w:hAnsi="Arial"/>
          <w:sz w:val="22"/>
          <w:szCs w:val="22"/>
          <w:color w:val="auto"/>
        </w:rPr>
        <w:t>Delaware</w:t>
      </w:r>
      <w:r>
        <w:rPr>
          <w:sz w:val="20"/>
          <w:szCs w:val="20"/>
          <w:color w:val="auto"/>
        </w:rPr>
        <w:tab/>
      </w:r>
      <w:r>
        <w:rPr>
          <w:rFonts w:ascii="Arial" w:cs="Arial" w:eastAsia="Arial" w:hAnsi="Arial"/>
          <w:sz w:val="22"/>
          <w:szCs w:val="22"/>
          <w:color w:val="auto"/>
        </w:rPr>
        <w:t>39-1679918</w:t>
      </w:r>
    </w:p>
    <w:p>
      <w:pPr>
        <w:ind w:left="2480"/>
        <w:spacing w:after="0"/>
        <w:tabs>
          <w:tab w:leader="none" w:pos="6840" w:val="left"/>
        </w:tabs>
        <w:rPr>
          <w:sz w:val="20"/>
          <w:szCs w:val="20"/>
          <w:color w:val="auto"/>
        </w:rPr>
      </w:pPr>
      <w:r>
        <w:rPr>
          <w:rFonts w:ascii="Arial" w:cs="Arial" w:eastAsia="Arial" w:hAnsi="Arial"/>
          <w:sz w:val="14"/>
          <w:szCs w:val="14"/>
          <w:color w:val="auto"/>
        </w:rPr>
        <w:t>(State or other jurisdiction of</w:t>
      </w:r>
      <w:r>
        <w:rPr>
          <w:sz w:val="20"/>
          <w:szCs w:val="20"/>
          <w:color w:val="auto"/>
        </w:rPr>
        <w:tab/>
      </w:r>
      <w:r>
        <w:rPr>
          <w:rFonts w:ascii="Arial" w:cs="Arial" w:eastAsia="Arial" w:hAnsi="Arial"/>
          <w:sz w:val="13"/>
          <w:szCs w:val="13"/>
          <w:color w:val="auto"/>
        </w:rPr>
        <w:t>(I.R.S. Employer</w:t>
      </w:r>
    </w:p>
    <w:p>
      <w:pPr>
        <w:ind w:left="2480"/>
        <w:spacing w:after="0"/>
        <w:tabs>
          <w:tab w:leader="none" w:pos="6840" w:val="left"/>
        </w:tabs>
        <w:rPr>
          <w:sz w:val="20"/>
          <w:szCs w:val="20"/>
          <w:color w:val="auto"/>
        </w:rPr>
      </w:pPr>
      <w:r>
        <w:rPr>
          <w:rFonts w:ascii="Arial" w:cs="Arial" w:eastAsia="Arial" w:hAnsi="Arial"/>
          <w:sz w:val="14"/>
          <w:szCs w:val="14"/>
          <w:color w:val="auto"/>
        </w:rPr>
        <w:t>incorporation or organization)</w:t>
      </w:r>
      <w:r>
        <w:rPr>
          <w:sz w:val="20"/>
          <w:szCs w:val="20"/>
          <w:color w:val="auto"/>
        </w:rPr>
        <w:tab/>
      </w:r>
      <w:r>
        <w:rPr>
          <w:rFonts w:ascii="Arial" w:cs="Arial" w:eastAsia="Arial" w:hAnsi="Arial"/>
          <w:sz w:val="13"/>
          <w:szCs w:val="13"/>
          <w:color w:val="auto"/>
        </w:rPr>
        <w:t>Identification No.)</w:t>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550 Monica Circle, Suite 201</w:t>
      </w:r>
    </w:p>
    <w:p>
      <w:pPr>
        <w:jc w:val="center"/>
        <w:spacing w:after="0" w:line="235" w:lineRule="auto"/>
        <w:rPr>
          <w:sz w:val="20"/>
          <w:szCs w:val="20"/>
          <w:color w:val="auto"/>
        </w:rPr>
      </w:pPr>
      <w:r>
        <w:rPr>
          <w:rFonts w:ascii="Arial" w:cs="Arial" w:eastAsia="Arial" w:hAnsi="Arial"/>
          <w:sz w:val="22"/>
          <w:szCs w:val="22"/>
          <w:color w:val="auto"/>
        </w:rPr>
        <w:t>Corona, California 92880</w:t>
      </w:r>
    </w:p>
    <w:p>
      <w:pPr>
        <w:jc w:val="center"/>
        <w:spacing w:after="0"/>
        <w:rPr>
          <w:sz w:val="20"/>
          <w:szCs w:val="20"/>
          <w:color w:val="auto"/>
        </w:rPr>
      </w:pPr>
      <w:r>
        <w:rPr>
          <w:rFonts w:ascii="Arial" w:cs="Arial" w:eastAsia="Arial" w:hAnsi="Arial"/>
          <w:sz w:val="14"/>
          <w:szCs w:val="14"/>
          <w:color w:val="auto"/>
        </w:rPr>
        <w:t>(Address of principal executive offices) (Zip code)</w:t>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(951) 739 – 6200</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0" w:lineRule="exact"/>
        <w:rPr>
          <w:sz w:val="24"/>
          <w:szCs w:val="24"/>
          <w:color w:val="auto"/>
        </w:rPr>
      </w:pPr>
    </w:p>
    <w:p>
      <w:pPr>
        <w:jc w:val="center"/>
        <w:spacing w:after="0"/>
        <w:tabs>
          <w:tab w:leader="none" w:pos="180" w:val="left"/>
        </w:tabs>
        <w:rPr>
          <w:sz w:val="20"/>
          <w:szCs w:val="20"/>
          <w:color w:val="auto"/>
        </w:rPr>
      </w:pPr>
      <w:r>
        <w:rPr>
          <w:rFonts w:ascii="Arial" w:cs="Arial" w:eastAsia="Arial" w:hAnsi="Arial"/>
          <w:sz w:val="20"/>
          <w:szCs w:val="20"/>
          <w:color w:val="auto"/>
        </w:rPr>
        <w:t xml:space="preserve">Yes </w:t>
      </w:r>
      <w:r>
        <w:rPr>
          <w:rFonts w:ascii="Arial" w:cs="Arial" w:eastAsia="Arial" w:hAnsi="Arial"/>
          <w:sz w:val="20"/>
          <w:szCs w:val="20"/>
          <w:u w:val="single" w:color="auto"/>
          <w:color w:val="auto"/>
        </w:rPr>
        <w:t>X</w:t>
      </w:r>
      <w:r>
        <w:rPr>
          <w:sz w:val="20"/>
          <w:szCs w:val="20"/>
          <w:color w:val="auto"/>
        </w:rPr>
        <w:tab/>
      </w:r>
      <w:r>
        <w:rPr>
          <w:rFonts w:ascii="Arial" w:cs="Arial" w:eastAsia="Arial" w:hAnsi="Arial"/>
          <w:sz w:val="16"/>
          <w:szCs w:val="16"/>
          <w:color w:val="auto"/>
        </w:rPr>
        <w:t>No __</w:t>
      </w:r>
    </w:p>
    <w:p>
      <w:pPr>
        <w:spacing w:after="0" w:line="229"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200" w:lineRule="exact"/>
        <w:rPr>
          <w:sz w:val="24"/>
          <w:szCs w:val="24"/>
          <w:color w:val="auto"/>
        </w:rPr>
      </w:pPr>
    </w:p>
    <w:p>
      <w:pPr>
        <w:jc w:val="center"/>
        <w:spacing w:after="0"/>
        <w:tabs>
          <w:tab w:leader="none" w:pos="240" w:val="left"/>
        </w:tabs>
        <w:rPr>
          <w:sz w:val="20"/>
          <w:szCs w:val="20"/>
          <w:color w:val="auto"/>
        </w:rPr>
      </w:pPr>
      <w:r>
        <w:rPr>
          <w:rFonts w:ascii="Arial" w:cs="Arial" w:eastAsia="Arial" w:hAnsi="Arial"/>
          <w:sz w:val="20"/>
          <w:szCs w:val="20"/>
          <w:color w:val="auto"/>
        </w:rPr>
        <w:t xml:space="preserve">Yes </w:t>
      </w:r>
      <w:r>
        <w:rPr>
          <w:rFonts w:ascii="Arial" w:cs="Arial" w:eastAsia="Arial" w:hAnsi="Arial"/>
          <w:sz w:val="20"/>
          <w:szCs w:val="20"/>
          <w:u w:val="single" w:color="auto"/>
          <w:color w:val="auto"/>
        </w:rPr>
        <w:t>X</w:t>
      </w:r>
      <w:r>
        <w:rPr>
          <w:sz w:val="20"/>
          <w:szCs w:val="20"/>
          <w:color w:val="auto"/>
        </w:rPr>
        <w:tab/>
      </w:r>
      <w:r>
        <w:rPr>
          <w:rFonts w:ascii="Arial" w:cs="Arial" w:eastAsia="Arial" w:hAnsi="Arial"/>
          <w:sz w:val="16"/>
          <w:szCs w:val="16"/>
          <w:color w:val="auto"/>
        </w:rPr>
        <w:t>No __</w:t>
      </w:r>
    </w:p>
    <w:p>
      <w:pPr>
        <w:spacing w:after="0" w:line="200" w:lineRule="exact"/>
        <w:rPr>
          <w:sz w:val="24"/>
          <w:szCs w:val="24"/>
          <w:color w:val="auto"/>
        </w:rPr>
      </w:pPr>
    </w:p>
    <w:p>
      <w:pPr>
        <w:spacing w:after="0" w:line="259"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200" w:lineRule="exact"/>
        <w:rPr>
          <w:sz w:val="24"/>
          <w:szCs w:val="24"/>
          <w:color w:val="auto"/>
        </w:rPr>
      </w:pPr>
    </w:p>
    <w:p>
      <w:pPr>
        <w:spacing w:after="0" w:line="202" w:lineRule="exact"/>
        <w:rPr>
          <w:sz w:val="24"/>
          <w:szCs w:val="24"/>
          <w:color w:val="auto"/>
        </w:rPr>
      </w:pPr>
    </w:p>
    <w:p>
      <w:pPr>
        <w:spacing w:after="0"/>
        <w:tabs>
          <w:tab w:leader="none" w:pos="8080" w:val="left"/>
        </w:tabs>
        <w:rPr>
          <w:sz w:val="20"/>
          <w:szCs w:val="20"/>
          <w:color w:val="auto"/>
        </w:rPr>
      </w:pPr>
      <w:r>
        <w:rPr>
          <w:rFonts w:ascii="Arial" w:cs="Arial" w:eastAsia="Arial" w:hAnsi="Arial"/>
          <w:sz w:val="20"/>
          <w:szCs w:val="20"/>
          <w:color w:val="auto"/>
        </w:rPr>
        <w:t>Large Accelerated Filer x</w:t>
      </w:r>
      <w:r>
        <w:rPr>
          <w:sz w:val="20"/>
          <w:szCs w:val="20"/>
          <w:color w:val="auto"/>
        </w:rPr>
        <w:tab/>
      </w:r>
      <w:r>
        <w:rPr>
          <w:rFonts w:ascii="Arial" w:cs="Arial" w:eastAsia="Arial" w:hAnsi="Arial"/>
          <w:sz w:val="18"/>
          <w:szCs w:val="18"/>
          <w:color w:val="auto"/>
        </w:rPr>
        <w:t>Accelerated filer o</w:t>
      </w:r>
    </w:p>
    <w:p>
      <w:pPr>
        <w:spacing w:after="0" w:line="108" w:lineRule="exact"/>
        <w:rPr>
          <w:sz w:val="24"/>
          <w:szCs w:val="24"/>
          <w:color w:val="auto"/>
        </w:rPr>
      </w:pPr>
    </w:p>
    <w:p>
      <w:pPr>
        <w:spacing w:after="0"/>
        <w:tabs>
          <w:tab w:leader="none" w:pos="8080" w:val="left"/>
        </w:tabs>
        <w:rPr>
          <w:sz w:val="20"/>
          <w:szCs w:val="20"/>
          <w:color w:val="auto"/>
        </w:rPr>
      </w:pPr>
      <w:r>
        <w:rPr>
          <w:rFonts w:ascii="Arial" w:cs="Arial" w:eastAsia="Arial" w:hAnsi="Arial"/>
          <w:sz w:val="20"/>
          <w:szCs w:val="20"/>
          <w:color w:val="auto"/>
        </w:rPr>
        <w:t>Non-accelerated filer o (Do not check if smaller reporting company)</w:t>
      </w:r>
      <w:r>
        <w:rPr>
          <w:sz w:val="20"/>
          <w:szCs w:val="20"/>
          <w:color w:val="auto"/>
        </w:rPr>
        <w:tab/>
      </w:r>
      <w:r>
        <w:rPr>
          <w:rFonts w:ascii="Arial" w:cs="Arial" w:eastAsia="Arial" w:hAnsi="Arial"/>
          <w:sz w:val="18"/>
          <w:szCs w:val="18"/>
          <w:color w:val="auto"/>
        </w:rPr>
        <w:t>Smaller reporting company o</w:t>
      </w:r>
    </w:p>
    <w:p>
      <w:pPr>
        <w:spacing w:after="0" w:line="200" w:lineRule="exact"/>
        <w:rPr>
          <w:sz w:val="24"/>
          <w:szCs w:val="24"/>
          <w:color w:val="auto"/>
        </w:rPr>
      </w:pPr>
    </w:p>
    <w:p>
      <w:pPr>
        <w:spacing w:after="0" w:line="232" w:lineRule="exact"/>
        <w:rPr>
          <w:sz w:val="24"/>
          <w:szCs w:val="24"/>
          <w:color w:val="auto"/>
        </w:rPr>
      </w:pPr>
    </w:p>
    <w:p>
      <w:pPr>
        <w:ind w:left="660"/>
        <w:spacing w:after="0"/>
        <w:rPr>
          <w:sz w:val="20"/>
          <w:szCs w:val="20"/>
          <w:color w:val="auto"/>
        </w:rPr>
      </w:pPr>
      <w:r>
        <w:rPr>
          <w:rFonts w:ascii="Arial" w:cs="Arial" w:eastAsia="Arial" w:hAnsi="Arial"/>
          <w:sz w:val="20"/>
          <w:szCs w:val="20"/>
          <w:color w:val="auto"/>
        </w:rPr>
        <w:t>Indicate by check mark whether the Registrant is a shell company (as defined by Rule 12b-2 of the Exchange Act).</w:t>
      </w:r>
    </w:p>
    <w:p>
      <w:pPr>
        <w:spacing w:after="0" w:line="229" w:lineRule="exact"/>
        <w:rPr>
          <w:sz w:val="24"/>
          <w:szCs w:val="24"/>
          <w:color w:val="auto"/>
        </w:rPr>
      </w:pPr>
    </w:p>
    <w:p>
      <w:pPr>
        <w:jc w:val="center"/>
        <w:ind w:right="-19"/>
        <w:spacing w:after="0"/>
        <w:tabs>
          <w:tab w:leader="none" w:pos="160" w:val="left"/>
        </w:tabs>
        <w:rPr>
          <w:sz w:val="20"/>
          <w:szCs w:val="20"/>
          <w:color w:val="auto"/>
        </w:rPr>
      </w:pPr>
      <w:r>
        <w:rPr>
          <w:rFonts w:ascii="Arial" w:cs="Arial" w:eastAsia="Arial" w:hAnsi="Arial"/>
          <w:sz w:val="20"/>
          <w:szCs w:val="20"/>
          <w:color w:val="auto"/>
        </w:rPr>
        <w:t>Yes ___</w:t>
        <w:tab/>
        <w:t xml:space="preserve">No </w:t>
      </w:r>
      <w:r>
        <w:rPr>
          <w:rFonts w:ascii="Arial" w:cs="Arial" w:eastAsia="Arial" w:hAnsi="Arial"/>
          <w:sz w:val="20"/>
          <w:szCs w:val="20"/>
          <w:u w:val="single" w:color="auto"/>
          <w:color w:val="auto"/>
        </w:rPr>
        <w:t>X</w:t>
      </w:r>
    </w:p>
    <w:p>
      <w:pPr>
        <w:spacing w:after="0" w:line="229" w:lineRule="exact"/>
        <w:rPr>
          <w:sz w:val="24"/>
          <w:szCs w:val="24"/>
          <w:color w:val="auto"/>
        </w:rPr>
      </w:pPr>
    </w:p>
    <w:p>
      <w:pPr>
        <w:ind w:left="660"/>
        <w:spacing w:after="0"/>
        <w:rPr>
          <w:sz w:val="20"/>
          <w:szCs w:val="20"/>
          <w:color w:val="auto"/>
        </w:rPr>
      </w:pPr>
      <w:r>
        <w:rPr>
          <w:rFonts w:ascii="Arial" w:cs="Arial" w:eastAsia="Arial" w:hAnsi="Arial"/>
          <w:sz w:val="20"/>
          <w:szCs w:val="20"/>
          <w:color w:val="auto"/>
        </w:rPr>
        <w:t>The Registrant had 176,428,972 shares of common stock, par value $0.005 per share, outstanding as of July 25,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213995</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MONSTER BEVERAGE CORPORATION AND SUBSIDIARIES</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JUNE 30, 2012</w:t>
      </w:r>
    </w:p>
    <w:p>
      <w:pPr>
        <w:sectPr>
          <w:pgSz w:w="11900" w:h="16838" w:orient="portrait"/>
          <w:cols w:equalWidth="0" w:num="1">
            <w:col w:w="11420"/>
          </w:cols>
          <w:pgMar w:left="240" w:top="233" w:right="239" w:bottom="0" w:gutter="0" w:footer="0" w:header="0"/>
        </w:sectPr>
      </w:pPr>
    </w:p>
    <w:p>
      <w:pPr>
        <w:spacing w:after="0" w:line="3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INDEX</w:t>
      </w:r>
    </w:p>
    <w:p>
      <w:pPr>
        <w:sectPr>
          <w:pgSz w:w="11900" w:h="16838" w:orient="portrait"/>
          <w:cols w:equalWidth="0" w:num="1">
            <w:col w:w="11420"/>
          </w:cols>
          <w:pgMar w:left="240" w:top="233" w:right="239" w:bottom="0" w:gutter="0" w:footer="0" w:header="0"/>
          <w:type w:val="continuous"/>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80" w:type="dxa"/>
            <w:vAlign w:val="bottom"/>
            <w:gridSpan w:val="2"/>
          </w:tcPr>
          <w:p>
            <w:pPr>
              <w:spacing w:after="0"/>
              <w:rPr>
                <w:rFonts w:ascii="Arial" w:cs="Arial" w:eastAsia="Arial" w:hAnsi="Arial"/>
                <w:sz w:val="22"/>
                <w:szCs w:val="22"/>
                <w:b w:val="1"/>
                <w:bCs w:val="1"/>
                <w:color w:val="0000EE"/>
              </w:rPr>
            </w:pPr>
            <w:hyperlink w:anchor="page2">
              <w:r>
                <w:rPr>
                  <w:rFonts w:ascii="Arial" w:cs="Arial" w:eastAsia="Arial" w:hAnsi="Arial"/>
                  <w:sz w:val="22"/>
                  <w:szCs w:val="22"/>
                  <w:b w:val="1"/>
                  <w:bCs w:val="1"/>
                  <w:color w:val="0000EE"/>
                </w:rPr>
                <w:t>Part I.</w:t>
              </w:r>
            </w:hyperlink>
          </w:p>
        </w:tc>
        <w:tc>
          <w:tcPr>
            <w:tcW w:w="9220" w:type="dxa"/>
            <w:vAlign w:val="bottom"/>
            <w:gridSpan w:val="16"/>
          </w:tcPr>
          <w:p>
            <w:pPr>
              <w:spacing w:after="0"/>
              <w:rPr>
                <w:rFonts w:ascii="Arial" w:cs="Arial" w:eastAsia="Arial" w:hAnsi="Arial"/>
                <w:sz w:val="22"/>
                <w:szCs w:val="22"/>
                <w:b w:val="1"/>
                <w:bCs w:val="1"/>
                <w:color w:val="0000EE"/>
              </w:rPr>
            </w:pPr>
            <w:hyperlink w:anchor="page2">
              <w:r>
                <w:rPr>
                  <w:rFonts w:ascii="Arial" w:cs="Arial" w:eastAsia="Arial" w:hAnsi="Arial"/>
                  <w:sz w:val="22"/>
                  <w:szCs w:val="22"/>
                  <w:b w:val="1"/>
                  <w:bCs w:val="1"/>
                  <w:color w:val="0000EE"/>
                </w:rPr>
                <w:t>FINANCIAL INFORMATION</w:t>
              </w:r>
            </w:hyperlink>
          </w:p>
        </w:tc>
        <w:tc>
          <w:tcPr>
            <w:tcW w:w="820" w:type="dxa"/>
            <w:vAlign w:val="bottom"/>
          </w:tcPr>
          <w:p>
            <w:pPr>
              <w:jc w:val="right"/>
              <w:spacing w:after="0"/>
              <w:rPr>
                <w:sz w:val="20"/>
                <w:szCs w:val="20"/>
                <w:color w:val="auto"/>
              </w:rPr>
            </w:pPr>
            <w:r>
              <w:rPr>
                <w:rFonts w:ascii="Arial" w:cs="Arial" w:eastAsia="Arial" w:hAnsi="Arial"/>
                <w:sz w:val="22"/>
                <w:szCs w:val="22"/>
                <w:b w:val="1"/>
                <w:bCs w:val="1"/>
                <w:color w:val="auto"/>
                <w:w w:val="84"/>
              </w:rPr>
              <w:t>Page No.</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380" w:type="dxa"/>
            <w:vAlign w:val="bottom"/>
            <w:gridSpan w:val="2"/>
          </w:tcPr>
          <w:p>
            <w:pPr>
              <w:spacing w:after="0"/>
              <w:rPr>
                <w:rFonts w:ascii="Arial" w:cs="Arial" w:eastAsia="Arial" w:hAnsi="Arial"/>
                <w:sz w:val="22"/>
                <w:szCs w:val="22"/>
                <w:color w:val="0000EE"/>
              </w:rPr>
            </w:pPr>
            <w:hyperlink w:anchor="page2">
              <w:r>
                <w:rPr>
                  <w:rFonts w:ascii="Arial" w:cs="Arial" w:eastAsia="Arial" w:hAnsi="Arial"/>
                  <w:sz w:val="22"/>
                  <w:szCs w:val="22"/>
                  <w:color w:val="0000EE"/>
                </w:rPr>
                <w:t>Item 1.</w:t>
              </w:r>
            </w:hyperlink>
          </w:p>
        </w:tc>
        <w:tc>
          <w:tcPr>
            <w:tcW w:w="9220" w:type="dxa"/>
            <w:vAlign w:val="bottom"/>
            <w:gridSpan w:val="16"/>
          </w:tcPr>
          <w:p>
            <w:pPr>
              <w:spacing w:after="0"/>
              <w:rPr>
                <w:rFonts w:ascii="Arial" w:cs="Arial" w:eastAsia="Arial" w:hAnsi="Arial"/>
                <w:sz w:val="22"/>
                <w:szCs w:val="22"/>
                <w:color w:val="0000EE"/>
              </w:rPr>
            </w:pPr>
            <w:hyperlink w:anchor="page2">
              <w:r>
                <w:rPr>
                  <w:rFonts w:ascii="Arial" w:cs="Arial" w:eastAsia="Arial" w:hAnsi="Arial"/>
                  <w:sz w:val="22"/>
                  <w:szCs w:val="22"/>
                  <w:color w:val="0000EE"/>
                </w:rPr>
                <w:t>Condensed Consolidated Financial Statements (Unaudited)</w:t>
              </w:r>
            </w:hyperlink>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0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4000" w:type="dxa"/>
            <w:vAlign w:val="bottom"/>
            <w:tcBorders>
              <w:top w:val="single" w:sz="8" w:color="0000EE"/>
              <w:bottom w:val="single" w:sz="8" w:color="0000EE"/>
            </w:tcBorders>
            <w:gridSpan w:val="6"/>
          </w:tcPr>
          <w:p>
            <w:pPr>
              <w:spacing w:after="0"/>
              <w:rPr>
                <w:rFonts w:ascii="Arial" w:cs="Arial" w:eastAsia="Arial" w:hAnsi="Arial"/>
                <w:sz w:val="22"/>
                <w:szCs w:val="22"/>
                <w:color w:val="0000EE"/>
                <w:w w:val="86"/>
              </w:rPr>
            </w:pPr>
            <w:hyperlink w:anchor="page2">
              <w:r>
                <w:rPr>
                  <w:rFonts w:ascii="Arial" w:cs="Arial" w:eastAsia="Arial" w:hAnsi="Arial"/>
                  <w:sz w:val="22"/>
                  <w:szCs w:val="22"/>
                  <w:color w:val="0000EE"/>
                  <w:w w:val="86"/>
                </w:rPr>
                <w:t>Condensed Consolidated Balance Sheets as of</w:t>
              </w:r>
            </w:hyperlink>
          </w:p>
        </w:tc>
        <w:tc>
          <w:tcPr>
            <w:tcW w:w="1120" w:type="dxa"/>
            <w:vAlign w:val="bottom"/>
            <w:tcBorders>
              <w:top w:val="single" w:sz="8" w:color="0000EE"/>
            </w:tcBorders>
            <w:gridSpan w:val="6"/>
          </w:tcPr>
          <w:p>
            <w:pPr>
              <w:spacing w:after="0"/>
              <w:rPr>
                <w:sz w:val="24"/>
                <w:szCs w:val="24"/>
                <w:color w:val="auto"/>
              </w:rPr>
            </w:pPr>
          </w:p>
        </w:tc>
        <w:tc>
          <w:tcPr>
            <w:tcW w:w="4100" w:type="dxa"/>
            <w:vAlign w:val="bottom"/>
            <w:gridSpan w:val="4"/>
          </w:tcPr>
          <w:p>
            <w:pPr>
              <w:spacing w:after="0"/>
              <w:rPr>
                <w:sz w:val="24"/>
                <w:szCs w:val="24"/>
                <w:color w:val="auto"/>
              </w:rPr>
            </w:pPr>
          </w:p>
        </w:tc>
        <w:tc>
          <w:tcPr>
            <w:tcW w:w="820" w:type="dxa"/>
            <w:vAlign w:val="bottom"/>
            <w:vMerge w:val="restart"/>
          </w:tcPr>
          <w:p>
            <w:pPr>
              <w:jc w:val="right"/>
              <w:ind w:right="12"/>
              <w:spacing w:after="0"/>
              <w:rPr>
                <w:sz w:val="20"/>
                <w:szCs w:val="20"/>
                <w:color w:val="auto"/>
              </w:rPr>
            </w:pPr>
            <w:r>
              <w:rPr>
                <w:rFonts w:ascii="Arial" w:cs="Arial" w:eastAsia="Arial" w:hAnsi="Arial"/>
                <w:sz w:val="22"/>
                <w:szCs w:val="22"/>
                <w:color w:val="auto"/>
              </w:rPr>
              <w:t>3</w:t>
            </w:r>
          </w:p>
        </w:tc>
        <w:tc>
          <w:tcPr>
            <w:tcW w:w="0" w:type="dxa"/>
            <w:vAlign w:val="bottom"/>
          </w:tcPr>
          <w:p>
            <w:pPr>
              <w:spacing w:after="0"/>
              <w:rPr>
                <w:sz w:val="1"/>
                <w:szCs w:val="1"/>
                <w:color w:val="auto"/>
              </w:rPr>
            </w:pPr>
          </w:p>
        </w:tc>
      </w:tr>
      <w:tr>
        <w:trPr>
          <w:trHeight w:val="223"/>
        </w:trPr>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20" w:type="dxa"/>
            <w:vAlign w:val="bottom"/>
            <w:gridSpan w:val="16"/>
          </w:tcPr>
          <w:p>
            <w:pPr>
              <w:spacing w:after="0" w:line="223" w:lineRule="exact"/>
              <w:rPr>
                <w:rFonts w:ascii="Arial" w:cs="Arial" w:eastAsia="Arial" w:hAnsi="Arial"/>
                <w:sz w:val="22"/>
                <w:szCs w:val="22"/>
                <w:color w:val="0000EE"/>
              </w:rPr>
            </w:pPr>
            <w:hyperlink w:anchor="page2">
              <w:r>
                <w:rPr>
                  <w:rFonts w:ascii="Arial" w:cs="Arial" w:eastAsia="Arial" w:hAnsi="Arial"/>
                  <w:sz w:val="22"/>
                  <w:szCs w:val="22"/>
                  <w:color w:val="0000EE"/>
                </w:rPr>
                <w:t>June 30, 2012 and December 31, 2011</w:t>
              </w:r>
            </w:hyperlink>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20" w:type="dxa"/>
            <w:vAlign w:val="bottom"/>
            <w:gridSpan w:val="16"/>
          </w:tcPr>
          <w:p>
            <w:pPr>
              <w:spacing w:after="0"/>
              <w:rPr>
                <w:rFonts w:ascii="Arial" w:cs="Arial" w:eastAsia="Arial" w:hAnsi="Arial"/>
                <w:sz w:val="22"/>
                <w:szCs w:val="22"/>
                <w:color w:val="0000EE"/>
              </w:rPr>
            </w:pPr>
            <w:hyperlink w:anchor="page3">
              <w:r>
                <w:rPr>
                  <w:rFonts w:ascii="Arial" w:cs="Arial" w:eastAsia="Arial" w:hAnsi="Arial"/>
                  <w:sz w:val="22"/>
                  <w:szCs w:val="22"/>
                  <w:color w:val="0000EE"/>
                </w:rPr>
                <w:t>Condensed Consolidated Statements of Income for the</w:t>
              </w:r>
            </w:hyperlink>
          </w:p>
        </w:tc>
        <w:tc>
          <w:tcPr>
            <w:tcW w:w="820" w:type="dxa"/>
            <w:vAlign w:val="bottom"/>
            <w:vMerge w:val="restart"/>
          </w:tcPr>
          <w:p>
            <w:pPr>
              <w:jc w:val="right"/>
              <w:ind w:right="12"/>
              <w:spacing w:after="0"/>
              <w:rPr>
                <w:sz w:val="20"/>
                <w:szCs w:val="20"/>
                <w:color w:val="auto"/>
              </w:rPr>
            </w:pPr>
            <w:r>
              <w:rPr>
                <w:rFonts w:ascii="Arial" w:cs="Arial" w:eastAsia="Arial" w:hAnsi="Arial"/>
                <w:sz w:val="22"/>
                <w:szCs w:val="22"/>
                <w:color w:val="auto"/>
              </w:rPr>
              <w:t>4</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740" w:type="dxa"/>
            <w:vAlign w:val="bottom"/>
            <w:tcBorders>
              <w:bottom w:val="single" w:sz="8" w:color="0000EE"/>
            </w:tcBorders>
            <w:gridSpan w:val="9"/>
          </w:tcPr>
          <w:p>
            <w:pPr>
              <w:spacing w:after="0" w:line="223" w:lineRule="exact"/>
              <w:rPr>
                <w:rFonts w:ascii="Arial" w:cs="Arial" w:eastAsia="Arial" w:hAnsi="Arial"/>
                <w:sz w:val="22"/>
                <w:szCs w:val="22"/>
                <w:color w:val="0000EE"/>
                <w:w w:val="87"/>
              </w:rPr>
            </w:pPr>
            <w:hyperlink w:anchor="page3">
              <w:r>
                <w:rPr>
                  <w:rFonts w:ascii="Arial" w:cs="Arial" w:eastAsia="Arial" w:hAnsi="Arial"/>
                  <w:sz w:val="22"/>
                  <w:szCs w:val="22"/>
                  <w:color w:val="0000EE"/>
                  <w:w w:val="87"/>
                </w:rPr>
                <w:t>Three- and Six-Months Ended June 30, 2012 and 2011</w:t>
              </w:r>
            </w:hyperlink>
          </w:p>
        </w:tc>
        <w:tc>
          <w:tcPr>
            <w:tcW w:w="4480" w:type="dxa"/>
            <w:vAlign w:val="bottom"/>
            <w:gridSpan w:val="7"/>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20" w:type="dxa"/>
            <w:vAlign w:val="bottom"/>
            <w:gridSpan w:val="16"/>
          </w:tcPr>
          <w:p>
            <w:pPr>
              <w:spacing w:after="0"/>
              <w:rPr>
                <w:rFonts w:ascii="Arial" w:cs="Arial" w:eastAsia="Arial" w:hAnsi="Arial"/>
                <w:sz w:val="22"/>
                <w:szCs w:val="22"/>
                <w:color w:val="0000EE"/>
              </w:rPr>
            </w:pPr>
            <w:hyperlink w:anchor="page4">
              <w:r>
                <w:rPr>
                  <w:rFonts w:ascii="Arial" w:cs="Arial" w:eastAsia="Arial" w:hAnsi="Arial"/>
                  <w:sz w:val="22"/>
                  <w:szCs w:val="22"/>
                  <w:color w:val="0000EE"/>
                </w:rPr>
                <w:t>Condensed Consolidated Statements of Comprehensive Income</w:t>
              </w:r>
            </w:hyperlink>
          </w:p>
        </w:tc>
        <w:tc>
          <w:tcPr>
            <w:tcW w:w="820" w:type="dxa"/>
            <w:vAlign w:val="bottom"/>
            <w:vMerge w:val="restart"/>
          </w:tcPr>
          <w:p>
            <w:pPr>
              <w:jc w:val="right"/>
              <w:ind w:right="12"/>
              <w:spacing w:after="0"/>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223"/>
        </w:trPr>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360" w:type="dxa"/>
            <w:vAlign w:val="bottom"/>
            <w:tcBorders>
              <w:top w:val="single" w:sz="8" w:color="0000EE"/>
              <w:bottom w:val="single" w:sz="8" w:color="0000EE"/>
            </w:tcBorders>
            <w:gridSpan w:val="14"/>
          </w:tcPr>
          <w:p>
            <w:pPr>
              <w:spacing w:after="0" w:line="223" w:lineRule="exact"/>
              <w:rPr>
                <w:rFonts w:ascii="Arial" w:cs="Arial" w:eastAsia="Arial" w:hAnsi="Arial"/>
                <w:sz w:val="22"/>
                <w:szCs w:val="22"/>
                <w:color w:val="0000EE"/>
                <w:w w:val="88"/>
              </w:rPr>
            </w:pPr>
            <w:hyperlink w:anchor="page4">
              <w:r>
                <w:rPr>
                  <w:rFonts w:ascii="Arial" w:cs="Arial" w:eastAsia="Arial" w:hAnsi="Arial"/>
                  <w:sz w:val="22"/>
                  <w:szCs w:val="22"/>
                  <w:color w:val="0000EE"/>
                  <w:w w:val="88"/>
                </w:rPr>
                <w:t>for the Three- and Six-Months Ended June 30, 2012 and 2011</w:t>
              </w:r>
            </w:hyperlink>
          </w:p>
        </w:tc>
        <w:tc>
          <w:tcPr>
            <w:tcW w:w="140" w:type="dxa"/>
            <w:vAlign w:val="bottom"/>
            <w:tcBorders>
              <w:top w:val="single" w:sz="8" w:color="0000EE"/>
            </w:tcBorders>
          </w:tcPr>
          <w:p>
            <w:pPr>
              <w:spacing w:after="0"/>
              <w:rPr>
                <w:sz w:val="19"/>
                <w:szCs w:val="19"/>
                <w:color w:val="auto"/>
              </w:rPr>
            </w:pPr>
          </w:p>
        </w:tc>
        <w:tc>
          <w:tcPr>
            <w:tcW w:w="37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20" w:type="dxa"/>
            <w:vAlign w:val="bottom"/>
            <w:gridSpan w:val="16"/>
          </w:tcPr>
          <w:p>
            <w:pPr>
              <w:spacing w:after="0"/>
              <w:rPr>
                <w:rFonts w:ascii="Arial" w:cs="Arial" w:eastAsia="Arial" w:hAnsi="Arial"/>
                <w:sz w:val="22"/>
                <w:szCs w:val="22"/>
                <w:color w:val="0000EE"/>
              </w:rPr>
            </w:pPr>
            <w:hyperlink w:anchor="page4">
              <w:r>
                <w:rPr>
                  <w:rFonts w:ascii="Arial" w:cs="Arial" w:eastAsia="Arial" w:hAnsi="Arial"/>
                  <w:sz w:val="22"/>
                  <w:szCs w:val="22"/>
                  <w:color w:val="0000EE"/>
                </w:rPr>
                <w:t>Condensed Consolidated Statements of Cash Flows for the</w:t>
              </w:r>
            </w:hyperlink>
          </w:p>
        </w:tc>
        <w:tc>
          <w:tcPr>
            <w:tcW w:w="820" w:type="dxa"/>
            <w:vAlign w:val="bottom"/>
            <w:vMerge w:val="restart"/>
          </w:tcPr>
          <w:p>
            <w:pPr>
              <w:jc w:val="right"/>
              <w:ind w:right="12"/>
              <w:spacing w:after="0"/>
              <w:rPr>
                <w:sz w:val="20"/>
                <w:szCs w:val="20"/>
                <w:color w:val="auto"/>
              </w:rPr>
            </w:pPr>
            <w:r>
              <w:rPr>
                <w:rFonts w:ascii="Arial" w:cs="Arial" w:eastAsia="Arial" w:hAnsi="Arial"/>
                <w:sz w:val="22"/>
                <w:szCs w:val="22"/>
                <w:color w:val="auto"/>
              </w:rPr>
              <w:t>6</w:t>
            </w:r>
          </w:p>
        </w:tc>
        <w:tc>
          <w:tcPr>
            <w:tcW w:w="0" w:type="dxa"/>
            <w:vAlign w:val="bottom"/>
          </w:tcPr>
          <w:p>
            <w:pPr>
              <w:spacing w:after="0"/>
              <w:rPr>
                <w:sz w:val="1"/>
                <w:szCs w:val="1"/>
                <w:color w:val="auto"/>
              </w:rPr>
            </w:pPr>
          </w:p>
        </w:tc>
      </w:tr>
      <w:tr>
        <w:trPr>
          <w:trHeight w:val="223"/>
        </w:trPr>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740" w:type="dxa"/>
            <w:vAlign w:val="bottom"/>
            <w:tcBorders>
              <w:top w:val="single" w:sz="8" w:color="0000EE"/>
              <w:bottom w:val="single" w:sz="8" w:color="0000EE"/>
            </w:tcBorders>
            <w:gridSpan w:val="5"/>
          </w:tcPr>
          <w:p>
            <w:pPr>
              <w:spacing w:after="0" w:line="223" w:lineRule="exact"/>
              <w:rPr>
                <w:rFonts w:ascii="Arial" w:cs="Arial" w:eastAsia="Arial" w:hAnsi="Arial"/>
                <w:sz w:val="22"/>
                <w:szCs w:val="22"/>
                <w:color w:val="0000EE"/>
                <w:w w:val="87"/>
              </w:rPr>
            </w:pPr>
            <w:hyperlink w:anchor="page4">
              <w:r>
                <w:rPr>
                  <w:rFonts w:ascii="Arial" w:cs="Arial" w:eastAsia="Arial" w:hAnsi="Arial"/>
                  <w:sz w:val="22"/>
                  <w:szCs w:val="22"/>
                  <w:color w:val="0000EE"/>
                  <w:w w:val="87"/>
                </w:rPr>
                <w:t>Six-Months Ended June 30, 2012 and 2011</w:t>
              </w:r>
            </w:hyperlink>
          </w:p>
        </w:tc>
        <w:tc>
          <w:tcPr>
            <w:tcW w:w="1340" w:type="dxa"/>
            <w:vAlign w:val="bottom"/>
            <w:tcBorders>
              <w:top w:val="single" w:sz="8" w:color="0000EE"/>
            </w:tcBorders>
            <w:gridSpan w:val="6"/>
          </w:tcPr>
          <w:p>
            <w:pPr>
              <w:spacing w:after="0"/>
              <w:rPr>
                <w:sz w:val="19"/>
                <w:szCs w:val="19"/>
                <w:color w:val="auto"/>
              </w:rPr>
            </w:pPr>
          </w:p>
        </w:tc>
        <w:tc>
          <w:tcPr>
            <w:tcW w:w="4140" w:type="dxa"/>
            <w:vAlign w:val="bottom"/>
            <w:gridSpan w:val="5"/>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20" w:type="dxa"/>
            <w:vAlign w:val="bottom"/>
            <w:gridSpan w:val="16"/>
          </w:tcPr>
          <w:p>
            <w:pPr>
              <w:spacing w:after="0"/>
              <w:rPr>
                <w:rFonts w:ascii="Arial" w:cs="Arial" w:eastAsia="Arial" w:hAnsi="Arial"/>
                <w:sz w:val="22"/>
                <w:szCs w:val="22"/>
                <w:color w:val="0000EE"/>
              </w:rPr>
            </w:pPr>
            <w:hyperlink w:anchor="page5">
              <w:r>
                <w:rPr>
                  <w:rFonts w:ascii="Arial" w:cs="Arial" w:eastAsia="Arial" w:hAnsi="Arial"/>
                  <w:sz w:val="22"/>
                  <w:szCs w:val="22"/>
                  <w:color w:val="0000EE"/>
                </w:rPr>
                <w:t>Notes to Condensed Consolidated Financial Statements</w:t>
              </w:r>
            </w:hyperlink>
          </w:p>
        </w:tc>
        <w:tc>
          <w:tcPr>
            <w:tcW w:w="820" w:type="dxa"/>
            <w:vAlign w:val="bottom"/>
          </w:tcPr>
          <w:p>
            <w:pPr>
              <w:jc w:val="right"/>
              <w:ind w:right="12"/>
              <w:spacing w:after="0"/>
              <w:rPr>
                <w:sz w:val="20"/>
                <w:szCs w:val="20"/>
                <w:color w:val="auto"/>
              </w:rPr>
            </w:pPr>
            <w:r>
              <w:rPr>
                <w:rFonts w:ascii="Arial" w:cs="Arial" w:eastAsia="Arial" w:hAnsi="Arial"/>
                <w:sz w:val="22"/>
                <w:szCs w:val="22"/>
                <w:color w:val="auto"/>
              </w:rPr>
              <w:t>8</w:t>
            </w:r>
          </w:p>
        </w:tc>
        <w:tc>
          <w:tcPr>
            <w:tcW w:w="0" w:type="dxa"/>
            <w:vAlign w:val="bottom"/>
          </w:tcPr>
          <w:p>
            <w:pPr>
              <w:spacing w:after="0"/>
              <w:rPr>
                <w:sz w:val="1"/>
                <w:szCs w:val="1"/>
                <w:color w:val="auto"/>
              </w:rPr>
            </w:pPr>
          </w:p>
        </w:tc>
      </w:tr>
      <w:tr>
        <w:trPr>
          <w:trHeight w:val="466"/>
        </w:trPr>
        <w:tc>
          <w:tcPr>
            <w:tcW w:w="1380" w:type="dxa"/>
            <w:vAlign w:val="bottom"/>
            <w:gridSpan w:val="2"/>
          </w:tcPr>
          <w:p>
            <w:pPr>
              <w:spacing w:after="0"/>
              <w:rPr>
                <w:rFonts w:ascii="Arial" w:cs="Arial" w:eastAsia="Arial" w:hAnsi="Arial"/>
                <w:sz w:val="22"/>
                <w:szCs w:val="22"/>
                <w:color w:val="0000EE"/>
              </w:rPr>
            </w:pPr>
            <w:hyperlink w:anchor="page19">
              <w:r>
                <w:rPr>
                  <w:rFonts w:ascii="Arial" w:cs="Arial" w:eastAsia="Arial" w:hAnsi="Arial"/>
                  <w:sz w:val="22"/>
                  <w:szCs w:val="22"/>
                  <w:color w:val="0000EE"/>
                </w:rPr>
                <w:t>Item 2.</w:t>
              </w:r>
            </w:hyperlink>
          </w:p>
        </w:tc>
        <w:tc>
          <w:tcPr>
            <w:tcW w:w="4800" w:type="dxa"/>
            <w:vAlign w:val="bottom"/>
            <w:tcBorders>
              <w:top w:val="single" w:sz="8" w:color="0000EE"/>
            </w:tcBorders>
            <w:gridSpan w:val="10"/>
          </w:tcPr>
          <w:p>
            <w:pPr>
              <w:spacing w:after="0"/>
              <w:rPr>
                <w:rFonts w:ascii="Arial" w:cs="Arial" w:eastAsia="Arial" w:hAnsi="Arial"/>
                <w:sz w:val="22"/>
                <w:szCs w:val="22"/>
                <w:color w:val="0000EE"/>
                <w:w w:val="94"/>
              </w:rPr>
            </w:pPr>
            <w:hyperlink w:anchor="page19">
              <w:r>
                <w:rPr>
                  <w:rFonts w:ascii="Arial" w:cs="Arial" w:eastAsia="Arial" w:hAnsi="Arial"/>
                  <w:sz w:val="22"/>
                  <w:szCs w:val="22"/>
                  <w:color w:val="0000EE"/>
                  <w:w w:val="94"/>
                </w:rPr>
                <w:t>Management’s Discussion and Analysis of Financial</w:t>
              </w:r>
            </w:hyperlink>
          </w:p>
        </w:tc>
        <w:tc>
          <w:tcPr>
            <w:tcW w:w="4420" w:type="dxa"/>
            <w:vAlign w:val="bottom"/>
            <w:gridSpan w:val="6"/>
          </w:tcPr>
          <w:p>
            <w:pPr>
              <w:spacing w:after="0"/>
              <w:rPr>
                <w:sz w:val="24"/>
                <w:szCs w:val="24"/>
                <w:color w:val="auto"/>
              </w:rPr>
            </w:pPr>
          </w:p>
        </w:tc>
        <w:tc>
          <w:tcPr>
            <w:tcW w:w="820" w:type="dxa"/>
            <w:vAlign w:val="bottom"/>
            <w:vMerge w:val="restart"/>
          </w:tcPr>
          <w:p>
            <w:pPr>
              <w:jc w:val="right"/>
              <w:ind w:right="12"/>
              <w:spacing w:after="0"/>
              <w:rPr>
                <w:sz w:val="20"/>
                <w:szCs w:val="20"/>
                <w:color w:val="auto"/>
              </w:rPr>
            </w:pPr>
            <w:r>
              <w:rPr>
                <w:rFonts w:ascii="Arial" w:cs="Arial" w:eastAsia="Arial" w:hAnsi="Arial"/>
                <w:sz w:val="22"/>
                <w:szCs w:val="22"/>
                <w:color w:val="auto"/>
              </w:rPr>
              <w:t>30</w:t>
            </w:r>
          </w:p>
        </w:tc>
        <w:tc>
          <w:tcPr>
            <w:tcW w:w="0" w:type="dxa"/>
            <w:vAlign w:val="bottom"/>
          </w:tcPr>
          <w:p>
            <w:pPr>
              <w:spacing w:after="0"/>
              <w:rPr>
                <w:sz w:val="1"/>
                <w:szCs w:val="1"/>
                <w:color w:val="auto"/>
              </w:rPr>
            </w:pPr>
          </w:p>
        </w:tc>
      </w:tr>
      <w:tr>
        <w:trPr>
          <w:trHeight w:val="223"/>
        </w:trPr>
        <w:tc>
          <w:tcPr>
            <w:tcW w:w="600" w:type="dxa"/>
            <w:vAlign w:val="bottom"/>
            <w:tcBorders>
              <w:top w:val="single" w:sz="8" w:color="0000EE"/>
            </w:tcBorders>
          </w:tcPr>
          <w:p>
            <w:pPr>
              <w:spacing w:after="0"/>
              <w:rPr>
                <w:sz w:val="19"/>
                <w:szCs w:val="19"/>
                <w:color w:val="auto"/>
              </w:rPr>
            </w:pPr>
          </w:p>
        </w:tc>
        <w:tc>
          <w:tcPr>
            <w:tcW w:w="780" w:type="dxa"/>
            <w:vAlign w:val="bottom"/>
          </w:tcPr>
          <w:p>
            <w:pPr>
              <w:spacing w:after="0"/>
              <w:rPr>
                <w:sz w:val="19"/>
                <w:szCs w:val="19"/>
                <w:color w:val="auto"/>
              </w:rPr>
            </w:pPr>
          </w:p>
        </w:tc>
        <w:tc>
          <w:tcPr>
            <w:tcW w:w="4540" w:type="dxa"/>
            <w:vAlign w:val="bottom"/>
            <w:tcBorders>
              <w:top w:val="single" w:sz="8" w:color="0000EE"/>
            </w:tcBorders>
            <w:gridSpan w:val="7"/>
          </w:tcPr>
          <w:p>
            <w:pPr>
              <w:spacing w:after="0" w:line="223" w:lineRule="exact"/>
              <w:rPr>
                <w:rFonts w:ascii="Arial" w:cs="Arial" w:eastAsia="Arial" w:hAnsi="Arial"/>
                <w:sz w:val="22"/>
                <w:szCs w:val="22"/>
                <w:color w:val="0000EE"/>
              </w:rPr>
            </w:pPr>
            <w:hyperlink w:anchor="page19">
              <w:r>
                <w:rPr>
                  <w:rFonts w:ascii="Arial" w:cs="Arial" w:eastAsia="Arial" w:hAnsi="Arial"/>
                  <w:sz w:val="22"/>
                  <w:szCs w:val="22"/>
                  <w:color w:val="0000EE"/>
                </w:rPr>
                <w:t>Condition and Results of Operations</w:t>
              </w:r>
            </w:hyperlink>
          </w:p>
        </w:tc>
        <w:tc>
          <w:tcPr>
            <w:tcW w:w="4680" w:type="dxa"/>
            <w:vAlign w:val="bottom"/>
            <w:gridSpan w:val="9"/>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80" w:type="dxa"/>
            <w:vAlign w:val="bottom"/>
            <w:gridSpan w:val="10"/>
          </w:tcPr>
          <w:p>
            <w:pPr>
              <w:spacing w:after="0" w:line="20" w:lineRule="exact"/>
              <w:rPr>
                <w:sz w:val="1"/>
                <w:szCs w:val="1"/>
                <w:color w:val="auto"/>
              </w:rPr>
            </w:pPr>
          </w:p>
        </w:tc>
        <w:tc>
          <w:tcPr>
            <w:tcW w:w="398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380" w:type="dxa"/>
            <w:vAlign w:val="bottom"/>
            <w:gridSpan w:val="2"/>
          </w:tcPr>
          <w:p>
            <w:pPr>
              <w:spacing w:after="0"/>
              <w:rPr>
                <w:rFonts w:ascii="Arial" w:cs="Arial" w:eastAsia="Arial" w:hAnsi="Arial"/>
                <w:sz w:val="22"/>
                <w:szCs w:val="22"/>
                <w:color w:val="0000EE"/>
              </w:rPr>
            </w:pPr>
            <w:hyperlink w:anchor="page30">
              <w:r>
                <w:rPr>
                  <w:rFonts w:ascii="Arial" w:cs="Arial" w:eastAsia="Arial" w:hAnsi="Arial"/>
                  <w:sz w:val="22"/>
                  <w:szCs w:val="22"/>
                  <w:color w:val="0000EE"/>
                </w:rPr>
                <w:t>Item 3.</w:t>
              </w:r>
            </w:hyperlink>
          </w:p>
        </w:tc>
        <w:tc>
          <w:tcPr>
            <w:tcW w:w="9220" w:type="dxa"/>
            <w:vAlign w:val="bottom"/>
            <w:gridSpan w:val="16"/>
          </w:tcPr>
          <w:p>
            <w:pPr>
              <w:spacing w:after="0"/>
              <w:rPr>
                <w:rFonts w:ascii="Arial" w:cs="Arial" w:eastAsia="Arial" w:hAnsi="Arial"/>
                <w:sz w:val="22"/>
                <w:szCs w:val="22"/>
                <w:color w:val="0000EE"/>
              </w:rPr>
            </w:pPr>
            <w:hyperlink w:anchor="page30">
              <w:r>
                <w:rPr>
                  <w:rFonts w:ascii="Arial" w:cs="Arial" w:eastAsia="Arial" w:hAnsi="Arial"/>
                  <w:sz w:val="22"/>
                  <w:szCs w:val="22"/>
                  <w:color w:val="0000EE"/>
                </w:rPr>
                <w:t>Quantitative and Qualitative Disclosures About Market Risk</w:t>
              </w:r>
            </w:hyperlink>
          </w:p>
        </w:tc>
        <w:tc>
          <w:tcPr>
            <w:tcW w:w="820" w:type="dxa"/>
            <w:vAlign w:val="bottom"/>
          </w:tcPr>
          <w:p>
            <w:pPr>
              <w:jc w:val="right"/>
              <w:ind w:right="12"/>
              <w:spacing w:after="0"/>
              <w:rPr>
                <w:sz w:val="20"/>
                <w:szCs w:val="20"/>
                <w:color w:val="auto"/>
              </w:rPr>
            </w:pPr>
            <w:r>
              <w:rPr>
                <w:rFonts w:ascii="Arial" w:cs="Arial" w:eastAsia="Arial" w:hAnsi="Arial"/>
                <w:sz w:val="22"/>
                <w:szCs w:val="22"/>
                <w:color w:val="auto"/>
              </w:rPr>
              <w:t>46</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3120" w:type="dxa"/>
            <w:vAlign w:val="bottom"/>
            <w:gridSpan w:val="12"/>
            <w:shd w:val="clear" w:color="auto" w:fill="0000EE"/>
          </w:tcPr>
          <w:p>
            <w:pPr>
              <w:spacing w:after="0" w:line="20" w:lineRule="exact"/>
              <w:rPr>
                <w:sz w:val="1"/>
                <w:szCs w:val="1"/>
                <w:color w:val="auto"/>
              </w:rPr>
            </w:pPr>
          </w:p>
        </w:tc>
        <w:tc>
          <w:tcPr>
            <w:tcW w:w="398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380" w:type="dxa"/>
            <w:vAlign w:val="bottom"/>
            <w:gridSpan w:val="2"/>
          </w:tcPr>
          <w:p>
            <w:pPr>
              <w:spacing w:after="0"/>
              <w:rPr>
                <w:rFonts w:ascii="Arial" w:cs="Arial" w:eastAsia="Arial" w:hAnsi="Arial"/>
                <w:sz w:val="22"/>
                <w:szCs w:val="22"/>
                <w:color w:val="0000EE"/>
              </w:rPr>
            </w:pPr>
            <w:hyperlink w:anchor="page31">
              <w:r>
                <w:rPr>
                  <w:rFonts w:ascii="Arial" w:cs="Arial" w:eastAsia="Arial" w:hAnsi="Arial"/>
                  <w:sz w:val="22"/>
                  <w:szCs w:val="22"/>
                  <w:color w:val="0000EE"/>
                </w:rPr>
                <w:t>Item 4.</w:t>
              </w:r>
            </w:hyperlink>
          </w:p>
        </w:tc>
        <w:tc>
          <w:tcPr>
            <w:tcW w:w="9220" w:type="dxa"/>
            <w:vAlign w:val="bottom"/>
            <w:gridSpan w:val="16"/>
          </w:tcPr>
          <w:p>
            <w:pPr>
              <w:spacing w:after="0"/>
              <w:rPr>
                <w:rFonts w:ascii="Arial" w:cs="Arial" w:eastAsia="Arial" w:hAnsi="Arial"/>
                <w:sz w:val="22"/>
                <w:szCs w:val="22"/>
                <w:color w:val="0000EE"/>
              </w:rPr>
            </w:pPr>
            <w:hyperlink w:anchor="page31">
              <w:r>
                <w:rPr>
                  <w:rFonts w:ascii="Arial" w:cs="Arial" w:eastAsia="Arial" w:hAnsi="Arial"/>
                  <w:sz w:val="22"/>
                  <w:szCs w:val="22"/>
                  <w:color w:val="0000EE"/>
                </w:rPr>
                <w:t>Controls and Procedures</w:t>
              </w:r>
            </w:hyperlink>
          </w:p>
        </w:tc>
        <w:tc>
          <w:tcPr>
            <w:tcW w:w="820" w:type="dxa"/>
            <w:vAlign w:val="bottom"/>
          </w:tcPr>
          <w:p>
            <w:pPr>
              <w:jc w:val="right"/>
              <w:ind w:right="12"/>
              <w:spacing w:after="0"/>
              <w:rPr>
                <w:sz w:val="20"/>
                <w:szCs w:val="20"/>
                <w:color w:val="auto"/>
              </w:rPr>
            </w:pPr>
            <w:r>
              <w:rPr>
                <w:rFonts w:ascii="Arial" w:cs="Arial" w:eastAsia="Arial" w:hAnsi="Arial"/>
                <w:sz w:val="22"/>
                <w:szCs w:val="22"/>
                <w:color w:val="auto"/>
              </w:rPr>
              <w:t>47</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00" w:type="dxa"/>
            <w:vAlign w:val="bottom"/>
            <w:tcBorders>
              <w:bottom w:val="single" w:sz="8" w:color="0000EE"/>
            </w:tcBorders>
            <w:gridSpan w:val="2"/>
          </w:tcPr>
          <w:p>
            <w:pPr>
              <w:spacing w:after="0"/>
              <w:rPr>
                <w:rFonts w:ascii="Arial" w:cs="Arial" w:eastAsia="Arial" w:hAnsi="Arial"/>
                <w:sz w:val="22"/>
                <w:szCs w:val="22"/>
                <w:b w:val="1"/>
                <w:bCs w:val="1"/>
                <w:color w:val="0000EE"/>
              </w:rPr>
            </w:pPr>
            <w:hyperlink w:anchor="page31">
              <w:r>
                <w:rPr>
                  <w:rFonts w:ascii="Arial" w:cs="Arial" w:eastAsia="Arial" w:hAnsi="Arial"/>
                  <w:sz w:val="22"/>
                  <w:szCs w:val="22"/>
                  <w:b w:val="1"/>
                  <w:bCs w:val="1"/>
                  <w:color w:val="0000EE"/>
                </w:rPr>
                <w:t>Part II.</w:t>
              </w:r>
            </w:hyperlink>
          </w:p>
        </w:tc>
        <w:tc>
          <w:tcPr>
            <w:tcW w:w="680" w:type="dxa"/>
            <w:vAlign w:val="bottom"/>
            <w:gridSpan w:val="2"/>
          </w:tcPr>
          <w:p>
            <w:pPr>
              <w:spacing w:after="0"/>
              <w:rPr>
                <w:sz w:val="21"/>
                <w:szCs w:val="21"/>
                <w:color w:val="auto"/>
              </w:rPr>
            </w:pPr>
          </w:p>
        </w:tc>
        <w:tc>
          <w:tcPr>
            <w:tcW w:w="2440" w:type="dxa"/>
            <w:vAlign w:val="bottom"/>
            <w:tcBorders>
              <w:bottom w:val="single" w:sz="8" w:color="0000EE"/>
            </w:tcBorders>
            <w:gridSpan w:val="6"/>
          </w:tcPr>
          <w:p>
            <w:pPr>
              <w:spacing w:after="0"/>
              <w:rPr>
                <w:rFonts w:ascii="Arial" w:cs="Arial" w:eastAsia="Arial" w:hAnsi="Arial"/>
                <w:sz w:val="22"/>
                <w:szCs w:val="22"/>
                <w:b w:val="1"/>
                <w:bCs w:val="1"/>
                <w:color w:val="0000EE"/>
              </w:rPr>
            </w:pPr>
            <w:hyperlink w:anchor="page31">
              <w:r>
                <w:rPr>
                  <w:rFonts w:ascii="Arial" w:cs="Arial" w:eastAsia="Arial" w:hAnsi="Arial"/>
                  <w:sz w:val="22"/>
                  <w:szCs w:val="22"/>
                  <w:b w:val="1"/>
                  <w:bCs w:val="1"/>
                  <w:color w:val="0000EE"/>
                </w:rPr>
                <w:t>OTHER INFORMATION</w:t>
              </w:r>
            </w:hyperlink>
          </w:p>
        </w:tc>
        <w:tc>
          <w:tcPr>
            <w:tcW w:w="5020" w:type="dxa"/>
            <w:vAlign w:val="bottom"/>
            <w:gridSpan w:val="3"/>
          </w:tcPr>
          <w:p>
            <w:pPr>
              <w:spacing w:after="0"/>
              <w:rPr>
                <w:sz w:val="21"/>
                <w:szCs w:val="21"/>
                <w:color w:val="auto"/>
              </w:rPr>
            </w:pPr>
          </w:p>
        </w:tc>
        <w:tc>
          <w:tcPr>
            <w:tcW w:w="2620" w:type="dxa"/>
            <w:vAlign w:val="bottom"/>
          </w:tcPr>
          <w:p>
            <w:pPr>
              <w:spacing w:after="0"/>
              <w:rPr>
                <w:sz w:val="21"/>
                <w:szCs w:val="21"/>
                <w:color w:val="auto"/>
              </w:rPr>
            </w:pPr>
          </w:p>
        </w:tc>
      </w:tr>
      <w:tr>
        <w:trPr>
          <w:trHeight w:val="466"/>
        </w:trPr>
        <w:tc>
          <w:tcPr>
            <w:tcW w:w="1380" w:type="dxa"/>
            <w:vAlign w:val="bottom"/>
            <w:gridSpan w:val="4"/>
          </w:tcPr>
          <w:p>
            <w:pPr>
              <w:spacing w:after="0"/>
              <w:rPr>
                <w:rFonts w:ascii="Arial" w:cs="Arial" w:eastAsia="Arial" w:hAnsi="Arial"/>
                <w:sz w:val="22"/>
                <w:szCs w:val="22"/>
                <w:color w:val="0000EE"/>
              </w:rPr>
            </w:pPr>
            <w:hyperlink w:anchor="page31">
              <w:r>
                <w:rPr>
                  <w:rFonts w:ascii="Arial" w:cs="Arial" w:eastAsia="Arial" w:hAnsi="Arial"/>
                  <w:sz w:val="22"/>
                  <w:szCs w:val="22"/>
                  <w:color w:val="0000EE"/>
                </w:rPr>
                <w:t>Item 1.</w:t>
              </w:r>
            </w:hyperlink>
          </w:p>
        </w:tc>
        <w:tc>
          <w:tcPr>
            <w:tcW w:w="7460" w:type="dxa"/>
            <w:vAlign w:val="bottom"/>
            <w:gridSpan w:val="9"/>
          </w:tcPr>
          <w:p>
            <w:pPr>
              <w:spacing w:after="0"/>
              <w:rPr>
                <w:rFonts w:ascii="Arial" w:cs="Arial" w:eastAsia="Arial" w:hAnsi="Arial"/>
                <w:sz w:val="22"/>
                <w:szCs w:val="22"/>
                <w:color w:val="0000EE"/>
              </w:rPr>
            </w:pPr>
            <w:hyperlink w:anchor="page31">
              <w:r>
                <w:rPr>
                  <w:rFonts w:ascii="Arial" w:cs="Arial" w:eastAsia="Arial" w:hAnsi="Arial"/>
                  <w:sz w:val="22"/>
                  <w:szCs w:val="22"/>
                  <w:color w:val="0000EE"/>
                </w:rPr>
                <w:t>Legal Proceedings</w:t>
              </w:r>
            </w:hyperlink>
          </w:p>
        </w:tc>
        <w:tc>
          <w:tcPr>
            <w:tcW w:w="2620" w:type="dxa"/>
            <w:vAlign w:val="bottom"/>
          </w:tcPr>
          <w:p>
            <w:pPr>
              <w:jc w:val="right"/>
              <w:ind w:right="52"/>
              <w:spacing w:after="0"/>
              <w:rPr>
                <w:sz w:val="20"/>
                <w:szCs w:val="20"/>
                <w:color w:val="auto"/>
              </w:rPr>
            </w:pPr>
            <w:r>
              <w:rPr>
                <w:rFonts w:ascii="Arial" w:cs="Arial" w:eastAsia="Arial" w:hAnsi="Arial"/>
                <w:sz w:val="22"/>
                <w:szCs w:val="22"/>
                <w:color w:val="auto"/>
              </w:rPr>
              <w:t>47</w:t>
            </w:r>
          </w:p>
        </w:tc>
      </w:tr>
      <w:tr>
        <w:trPr>
          <w:trHeight w:val="20"/>
        </w:trPr>
        <w:tc>
          <w:tcPr>
            <w:tcW w:w="62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466"/>
        </w:trPr>
        <w:tc>
          <w:tcPr>
            <w:tcW w:w="780" w:type="dxa"/>
            <w:vAlign w:val="bottom"/>
            <w:tcBorders>
              <w:bottom w:val="single" w:sz="8" w:color="0000EE"/>
            </w:tcBorders>
            <w:gridSpan w:val="3"/>
          </w:tcPr>
          <w:p>
            <w:pPr>
              <w:spacing w:after="0"/>
              <w:rPr>
                <w:rFonts w:ascii="Arial" w:cs="Arial" w:eastAsia="Arial" w:hAnsi="Arial"/>
                <w:sz w:val="22"/>
                <w:szCs w:val="22"/>
                <w:color w:val="0000EE"/>
                <w:w w:val="92"/>
              </w:rPr>
            </w:pPr>
            <w:hyperlink w:anchor="page33">
              <w:r>
                <w:rPr>
                  <w:rFonts w:ascii="Arial" w:cs="Arial" w:eastAsia="Arial" w:hAnsi="Arial"/>
                  <w:sz w:val="22"/>
                  <w:szCs w:val="22"/>
                  <w:color w:val="0000EE"/>
                  <w:w w:val="92"/>
                </w:rPr>
                <w:t>Item 1A.</w:t>
              </w:r>
            </w:hyperlink>
          </w:p>
        </w:tc>
        <w:tc>
          <w:tcPr>
            <w:tcW w:w="600" w:type="dxa"/>
            <w:vAlign w:val="bottom"/>
          </w:tcPr>
          <w:p>
            <w:pPr>
              <w:spacing w:after="0"/>
              <w:rPr>
                <w:sz w:val="24"/>
                <w:szCs w:val="24"/>
                <w:color w:val="auto"/>
              </w:rPr>
            </w:pPr>
          </w:p>
        </w:tc>
        <w:tc>
          <w:tcPr>
            <w:tcW w:w="1100" w:type="dxa"/>
            <w:vAlign w:val="bottom"/>
            <w:tcBorders>
              <w:bottom w:val="single" w:sz="8" w:color="0000EE"/>
            </w:tcBorders>
            <w:gridSpan w:val="3"/>
          </w:tcPr>
          <w:p>
            <w:pPr>
              <w:spacing w:after="0"/>
              <w:rPr>
                <w:rFonts w:ascii="Arial" w:cs="Arial" w:eastAsia="Arial" w:hAnsi="Arial"/>
                <w:sz w:val="22"/>
                <w:szCs w:val="22"/>
                <w:color w:val="0000EE"/>
                <w:w w:val="88"/>
              </w:rPr>
            </w:pPr>
            <w:hyperlink w:anchor="page33">
              <w:r>
                <w:rPr>
                  <w:rFonts w:ascii="Arial" w:cs="Arial" w:eastAsia="Arial" w:hAnsi="Arial"/>
                  <w:sz w:val="22"/>
                  <w:szCs w:val="22"/>
                  <w:color w:val="0000EE"/>
                  <w:w w:val="88"/>
                </w:rPr>
                <w:t>Risk Factors</w:t>
              </w:r>
            </w:hyperlink>
          </w:p>
        </w:tc>
        <w:tc>
          <w:tcPr>
            <w:tcW w:w="6360" w:type="dxa"/>
            <w:vAlign w:val="bottom"/>
            <w:gridSpan w:val="6"/>
          </w:tcPr>
          <w:p>
            <w:pPr>
              <w:spacing w:after="0"/>
              <w:rPr>
                <w:sz w:val="24"/>
                <w:szCs w:val="24"/>
                <w:color w:val="auto"/>
              </w:rPr>
            </w:pPr>
          </w:p>
        </w:tc>
        <w:tc>
          <w:tcPr>
            <w:tcW w:w="2620" w:type="dxa"/>
            <w:vAlign w:val="bottom"/>
          </w:tcPr>
          <w:p>
            <w:pPr>
              <w:jc w:val="right"/>
              <w:ind w:right="52"/>
              <w:spacing w:after="0"/>
              <w:rPr>
                <w:sz w:val="20"/>
                <w:szCs w:val="20"/>
                <w:color w:val="auto"/>
              </w:rPr>
            </w:pPr>
            <w:r>
              <w:rPr>
                <w:rFonts w:ascii="Arial" w:cs="Arial" w:eastAsia="Arial" w:hAnsi="Arial"/>
                <w:sz w:val="22"/>
                <w:szCs w:val="22"/>
                <w:color w:val="auto"/>
              </w:rPr>
              <w:t>50</w:t>
            </w:r>
          </w:p>
        </w:tc>
      </w:tr>
      <w:tr>
        <w:trPr>
          <w:trHeight w:val="466"/>
        </w:trPr>
        <w:tc>
          <w:tcPr>
            <w:tcW w:w="1380" w:type="dxa"/>
            <w:vAlign w:val="bottom"/>
            <w:gridSpan w:val="4"/>
          </w:tcPr>
          <w:p>
            <w:pPr>
              <w:spacing w:after="0"/>
              <w:rPr>
                <w:rFonts w:ascii="Arial" w:cs="Arial" w:eastAsia="Arial" w:hAnsi="Arial"/>
                <w:sz w:val="22"/>
                <w:szCs w:val="22"/>
                <w:color w:val="0000EE"/>
              </w:rPr>
            </w:pPr>
            <w:hyperlink w:anchor="page33">
              <w:r>
                <w:rPr>
                  <w:rFonts w:ascii="Arial" w:cs="Arial" w:eastAsia="Arial" w:hAnsi="Arial"/>
                  <w:sz w:val="22"/>
                  <w:szCs w:val="22"/>
                  <w:color w:val="0000EE"/>
                </w:rPr>
                <w:t>Item 2.</w:t>
              </w:r>
            </w:hyperlink>
          </w:p>
        </w:tc>
        <w:tc>
          <w:tcPr>
            <w:tcW w:w="7460" w:type="dxa"/>
            <w:vAlign w:val="bottom"/>
            <w:gridSpan w:val="9"/>
          </w:tcPr>
          <w:p>
            <w:pPr>
              <w:spacing w:after="0"/>
              <w:rPr>
                <w:rFonts w:ascii="Arial" w:cs="Arial" w:eastAsia="Arial" w:hAnsi="Arial"/>
                <w:sz w:val="22"/>
                <w:szCs w:val="22"/>
                <w:color w:val="0000EE"/>
              </w:rPr>
            </w:pPr>
            <w:hyperlink w:anchor="page33">
              <w:r>
                <w:rPr>
                  <w:rFonts w:ascii="Arial" w:cs="Arial" w:eastAsia="Arial" w:hAnsi="Arial"/>
                  <w:sz w:val="22"/>
                  <w:szCs w:val="22"/>
                  <w:color w:val="0000EE"/>
                </w:rPr>
                <w:t>Unregistered Sales of Equity Securities and Use of Proceeds</w:t>
              </w:r>
            </w:hyperlink>
          </w:p>
        </w:tc>
        <w:tc>
          <w:tcPr>
            <w:tcW w:w="2620" w:type="dxa"/>
            <w:vAlign w:val="bottom"/>
          </w:tcPr>
          <w:p>
            <w:pPr>
              <w:jc w:val="right"/>
              <w:ind w:right="52"/>
              <w:spacing w:after="0"/>
              <w:rPr>
                <w:sz w:val="20"/>
                <w:szCs w:val="20"/>
                <w:color w:val="auto"/>
              </w:rPr>
            </w:pPr>
            <w:r>
              <w:rPr>
                <w:rFonts w:ascii="Arial" w:cs="Arial" w:eastAsia="Arial" w:hAnsi="Arial"/>
                <w:sz w:val="22"/>
                <w:szCs w:val="22"/>
                <w:color w:val="auto"/>
              </w:rPr>
              <w:t>50</w:t>
            </w:r>
          </w:p>
        </w:tc>
      </w:tr>
      <w:tr>
        <w:trPr>
          <w:trHeight w:val="20"/>
        </w:trPr>
        <w:tc>
          <w:tcPr>
            <w:tcW w:w="620" w:type="dxa"/>
            <w:vAlign w:val="bottom"/>
            <w:shd w:val="clear" w:color="auto" w:fill="0000EE"/>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466"/>
        </w:trPr>
        <w:tc>
          <w:tcPr>
            <w:tcW w:w="1380" w:type="dxa"/>
            <w:vAlign w:val="bottom"/>
            <w:gridSpan w:val="4"/>
          </w:tcPr>
          <w:p>
            <w:pPr>
              <w:spacing w:after="0"/>
              <w:rPr>
                <w:rFonts w:ascii="Arial" w:cs="Arial" w:eastAsia="Arial" w:hAnsi="Arial"/>
                <w:sz w:val="22"/>
                <w:szCs w:val="22"/>
                <w:color w:val="0000EE"/>
              </w:rPr>
            </w:pPr>
            <w:hyperlink w:anchor="page33">
              <w:r>
                <w:rPr>
                  <w:rFonts w:ascii="Arial" w:cs="Arial" w:eastAsia="Arial" w:hAnsi="Arial"/>
                  <w:sz w:val="22"/>
                  <w:szCs w:val="22"/>
                  <w:color w:val="0000EE"/>
                </w:rPr>
                <w:t>Item 3.</w:t>
              </w:r>
            </w:hyperlink>
          </w:p>
        </w:tc>
        <w:tc>
          <w:tcPr>
            <w:tcW w:w="7460" w:type="dxa"/>
            <w:vAlign w:val="bottom"/>
            <w:gridSpan w:val="9"/>
          </w:tcPr>
          <w:p>
            <w:pPr>
              <w:spacing w:after="0"/>
              <w:rPr>
                <w:rFonts w:ascii="Arial" w:cs="Arial" w:eastAsia="Arial" w:hAnsi="Arial"/>
                <w:sz w:val="22"/>
                <w:szCs w:val="22"/>
                <w:color w:val="0000EE"/>
              </w:rPr>
            </w:pPr>
            <w:hyperlink w:anchor="page33">
              <w:r>
                <w:rPr>
                  <w:rFonts w:ascii="Arial" w:cs="Arial" w:eastAsia="Arial" w:hAnsi="Arial"/>
                  <w:sz w:val="22"/>
                  <w:szCs w:val="22"/>
                  <w:color w:val="0000EE"/>
                </w:rPr>
                <w:t>Defaults Upon Senior Securities</w:t>
              </w:r>
            </w:hyperlink>
          </w:p>
        </w:tc>
        <w:tc>
          <w:tcPr>
            <w:tcW w:w="2620" w:type="dxa"/>
            <w:vAlign w:val="bottom"/>
          </w:tcPr>
          <w:p>
            <w:pPr>
              <w:jc w:val="right"/>
              <w:ind w:right="52"/>
              <w:spacing w:after="0"/>
              <w:rPr>
                <w:sz w:val="20"/>
                <w:szCs w:val="20"/>
                <w:color w:val="auto"/>
              </w:rPr>
            </w:pPr>
            <w:r>
              <w:rPr>
                <w:rFonts w:ascii="Arial" w:cs="Arial" w:eastAsia="Arial" w:hAnsi="Arial"/>
                <w:sz w:val="22"/>
                <w:szCs w:val="22"/>
                <w:color w:val="auto"/>
              </w:rPr>
              <w:t>51</w:t>
            </w:r>
          </w:p>
        </w:tc>
      </w:tr>
      <w:tr>
        <w:trPr>
          <w:trHeight w:val="20"/>
        </w:trPr>
        <w:tc>
          <w:tcPr>
            <w:tcW w:w="620" w:type="dxa"/>
            <w:vAlign w:val="bottom"/>
            <w:shd w:val="clear" w:color="auto" w:fill="0000EE"/>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660" w:type="dxa"/>
            <w:vAlign w:val="bottom"/>
            <w:gridSpan w:val="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466"/>
        </w:trPr>
        <w:tc>
          <w:tcPr>
            <w:tcW w:w="1380" w:type="dxa"/>
            <w:vAlign w:val="bottom"/>
            <w:gridSpan w:val="4"/>
          </w:tcPr>
          <w:p>
            <w:pPr>
              <w:spacing w:after="0"/>
              <w:rPr>
                <w:rFonts w:ascii="Arial" w:cs="Arial" w:eastAsia="Arial" w:hAnsi="Arial"/>
                <w:sz w:val="22"/>
                <w:szCs w:val="22"/>
                <w:color w:val="0000EE"/>
              </w:rPr>
            </w:pPr>
            <w:hyperlink w:anchor="page33">
              <w:r>
                <w:rPr>
                  <w:rFonts w:ascii="Arial" w:cs="Arial" w:eastAsia="Arial" w:hAnsi="Arial"/>
                  <w:sz w:val="22"/>
                  <w:szCs w:val="22"/>
                  <w:color w:val="0000EE"/>
                </w:rPr>
                <w:t>Item 4.</w:t>
              </w:r>
            </w:hyperlink>
          </w:p>
        </w:tc>
        <w:tc>
          <w:tcPr>
            <w:tcW w:w="7460" w:type="dxa"/>
            <w:vAlign w:val="bottom"/>
            <w:gridSpan w:val="9"/>
          </w:tcPr>
          <w:p>
            <w:pPr>
              <w:spacing w:after="0"/>
              <w:rPr>
                <w:rFonts w:ascii="Arial" w:cs="Arial" w:eastAsia="Arial" w:hAnsi="Arial"/>
                <w:sz w:val="22"/>
                <w:szCs w:val="22"/>
                <w:color w:val="0000EE"/>
              </w:rPr>
            </w:pPr>
            <w:hyperlink w:anchor="page33">
              <w:r>
                <w:rPr>
                  <w:rFonts w:ascii="Arial" w:cs="Arial" w:eastAsia="Arial" w:hAnsi="Arial"/>
                  <w:sz w:val="22"/>
                  <w:szCs w:val="22"/>
                  <w:color w:val="0000EE"/>
                </w:rPr>
                <w:t>Mine Safety Disclosures</w:t>
              </w:r>
            </w:hyperlink>
          </w:p>
        </w:tc>
        <w:tc>
          <w:tcPr>
            <w:tcW w:w="2620" w:type="dxa"/>
            <w:vAlign w:val="bottom"/>
          </w:tcPr>
          <w:p>
            <w:pPr>
              <w:jc w:val="right"/>
              <w:ind w:right="52"/>
              <w:spacing w:after="0"/>
              <w:rPr>
                <w:sz w:val="20"/>
                <w:szCs w:val="20"/>
                <w:color w:val="auto"/>
              </w:rPr>
            </w:pPr>
            <w:r>
              <w:rPr>
                <w:rFonts w:ascii="Arial" w:cs="Arial" w:eastAsia="Arial" w:hAnsi="Arial"/>
                <w:sz w:val="22"/>
                <w:szCs w:val="22"/>
                <w:color w:val="auto"/>
              </w:rPr>
              <w:t>51</w:t>
            </w:r>
          </w:p>
        </w:tc>
      </w:tr>
      <w:tr>
        <w:trPr>
          <w:trHeight w:val="20"/>
        </w:trPr>
        <w:tc>
          <w:tcPr>
            <w:tcW w:w="620" w:type="dxa"/>
            <w:vAlign w:val="bottom"/>
            <w:shd w:val="clear" w:color="auto" w:fill="0000EE"/>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5340" w:type="dxa"/>
            <w:vAlign w:val="bottom"/>
            <w:gridSpan w:val="4"/>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466"/>
        </w:trPr>
        <w:tc>
          <w:tcPr>
            <w:tcW w:w="1380" w:type="dxa"/>
            <w:vAlign w:val="bottom"/>
            <w:gridSpan w:val="4"/>
          </w:tcPr>
          <w:p>
            <w:pPr>
              <w:spacing w:after="0"/>
              <w:rPr>
                <w:rFonts w:ascii="Arial" w:cs="Arial" w:eastAsia="Arial" w:hAnsi="Arial"/>
                <w:sz w:val="22"/>
                <w:szCs w:val="22"/>
                <w:color w:val="0000EE"/>
              </w:rPr>
            </w:pPr>
            <w:hyperlink w:anchor="page33">
              <w:r>
                <w:rPr>
                  <w:rFonts w:ascii="Arial" w:cs="Arial" w:eastAsia="Arial" w:hAnsi="Arial"/>
                  <w:sz w:val="22"/>
                  <w:szCs w:val="22"/>
                  <w:color w:val="0000EE"/>
                </w:rPr>
                <w:t>Item 5.</w:t>
              </w:r>
            </w:hyperlink>
          </w:p>
        </w:tc>
        <w:tc>
          <w:tcPr>
            <w:tcW w:w="7460" w:type="dxa"/>
            <w:vAlign w:val="bottom"/>
            <w:gridSpan w:val="9"/>
          </w:tcPr>
          <w:p>
            <w:pPr>
              <w:spacing w:after="0"/>
              <w:rPr>
                <w:rFonts w:ascii="Arial" w:cs="Arial" w:eastAsia="Arial" w:hAnsi="Arial"/>
                <w:sz w:val="22"/>
                <w:szCs w:val="22"/>
                <w:color w:val="0000EE"/>
              </w:rPr>
            </w:pPr>
            <w:hyperlink w:anchor="page33">
              <w:r>
                <w:rPr>
                  <w:rFonts w:ascii="Arial" w:cs="Arial" w:eastAsia="Arial" w:hAnsi="Arial"/>
                  <w:sz w:val="22"/>
                  <w:szCs w:val="22"/>
                  <w:color w:val="0000EE"/>
                </w:rPr>
                <w:t>Other Information</w:t>
              </w:r>
            </w:hyperlink>
          </w:p>
        </w:tc>
        <w:tc>
          <w:tcPr>
            <w:tcW w:w="2620" w:type="dxa"/>
            <w:vAlign w:val="bottom"/>
          </w:tcPr>
          <w:p>
            <w:pPr>
              <w:jc w:val="right"/>
              <w:ind w:right="52"/>
              <w:spacing w:after="0"/>
              <w:rPr>
                <w:sz w:val="20"/>
                <w:szCs w:val="20"/>
                <w:color w:val="auto"/>
              </w:rPr>
            </w:pPr>
            <w:r>
              <w:rPr>
                <w:rFonts w:ascii="Arial" w:cs="Arial" w:eastAsia="Arial" w:hAnsi="Arial"/>
                <w:sz w:val="22"/>
                <w:szCs w:val="22"/>
                <w:color w:val="auto"/>
              </w:rPr>
              <w:t>51</w:t>
            </w:r>
          </w:p>
        </w:tc>
      </w:tr>
      <w:tr>
        <w:trPr>
          <w:trHeight w:val="20"/>
        </w:trPr>
        <w:tc>
          <w:tcPr>
            <w:tcW w:w="620" w:type="dxa"/>
            <w:vAlign w:val="bottom"/>
            <w:shd w:val="clear" w:color="auto" w:fill="0000EE"/>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880" w:type="dxa"/>
            <w:vAlign w:val="bottom"/>
            <w:gridSpan w:val="5"/>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466"/>
        </w:trPr>
        <w:tc>
          <w:tcPr>
            <w:tcW w:w="1380" w:type="dxa"/>
            <w:vAlign w:val="bottom"/>
            <w:gridSpan w:val="4"/>
          </w:tcPr>
          <w:p>
            <w:pPr>
              <w:spacing w:after="0"/>
              <w:rPr>
                <w:rFonts w:ascii="Arial" w:cs="Arial" w:eastAsia="Arial" w:hAnsi="Arial"/>
                <w:sz w:val="22"/>
                <w:szCs w:val="22"/>
                <w:color w:val="0000EE"/>
              </w:rPr>
            </w:pPr>
            <w:hyperlink w:anchor="page34">
              <w:r>
                <w:rPr>
                  <w:rFonts w:ascii="Arial" w:cs="Arial" w:eastAsia="Arial" w:hAnsi="Arial"/>
                  <w:sz w:val="22"/>
                  <w:szCs w:val="22"/>
                  <w:color w:val="0000EE"/>
                </w:rPr>
                <w:t>Item 6.</w:t>
              </w:r>
            </w:hyperlink>
          </w:p>
        </w:tc>
        <w:tc>
          <w:tcPr>
            <w:tcW w:w="7460" w:type="dxa"/>
            <w:vAlign w:val="bottom"/>
            <w:gridSpan w:val="9"/>
          </w:tcPr>
          <w:p>
            <w:pPr>
              <w:spacing w:after="0"/>
              <w:rPr>
                <w:rFonts w:ascii="Arial" w:cs="Arial" w:eastAsia="Arial" w:hAnsi="Arial"/>
                <w:sz w:val="22"/>
                <w:szCs w:val="22"/>
                <w:color w:val="0000EE"/>
              </w:rPr>
            </w:pPr>
            <w:hyperlink w:anchor="page34">
              <w:r>
                <w:rPr>
                  <w:rFonts w:ascii="Arial" w:cs="Arial" w:eastAsia="Arial" w:hAnsi="Arial"/>
                  <w:sz w:val="22"/>
                  <w:szCs w:val="22"/>
                  <w:color w:val="0000EE"/>
                </w:rPr>
                <w:t>Exhibits</w:t>
              </w:r>
            </w:hyperlink>
          </w:p>
        </w:tc>
        <w:tc>
          <w:tcPr>
            <w:tcW w:w="2620" w:type="dxa"/>
            <w:vAlign w:val="bottom"/>
          </w:tcPr>
          <w:p>
            <w:pPr>
              <w:jc w:val="right"/>
              <w:ind w:right="52"/>
              <w:spacing w:after="0"/>
              <w:rPr>
                <w:sz w:val="20"/>
                <w:szCs w:val="20"/>
                <w:color w:val="auto"/>
              </w:rPr>
            </w:pPr>
            <w:r>
              <w:rPr>
                <w:rFonts w:ascii="Arial" w:cs="Arial" w:eastAsia="Arial" w:hAnsi="Arial"/>
                <w:sz w:val="22"/>
                <w:szCs w:val="22"/>
                <w:color w:val="auto"/>
              </w:rPr>
              <w:t>51</w:t>
            </w: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540" w:type="dxa"/>
            <w:vAlign w:val="bottom"/>
            <w:gridSpan w:val="7"/>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466"/>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Borders>
              <w:bottom w:val="single" w:sz="8" w:color="0000EE"/>
            </w:tcBorders>
            <w:gridSpan w:val="2"/>
          </w:tcPr>
          <w:p>
            <w:pPr>
              <w:spacing w:after="0"/>
              <w:rPr>
                <w:rFonts w:ascii="Arial" w:cs="Arial" w:eastAsia="Arial" w:hAnsi="Arial"/>
                <w:sz w:val="22"/>
                <w:szCs w:val="22"/>
                <w:color w:val="0000EE"/>
                <w:w w:val="85"/>
              </w:rPr>
            </w:pPr>
            <w:hyperlink w:anchor="page34">
              <w:r>
                <w:rPr>
                  <w:rFonts w:ascii="Arial" w:cs="Arial" w:eastAsia="Arial" w:hAnsi="Arial"/>
                  <w:sz w:val="22"/>
                  <w:szCs w:val="22"/>
                  <w:color w:val="0000EE"/>
                  <w:w w:val="85"/>
                </w:rPr>
                <w:t>Signatures</w:t>
              </w:r>
            </w:hyperlink>
          </w:p>
        </w:tc>
        <w:tc>
          <w:tcPr>
            <w:tcW w:w="6540" w:type="dxa"/>
            <w:vAlign w:val="bottom"/>
            <w:gridSpan w:val="7"/>
          </w:tcPr>
          <w:p>
            <w:pPr>
              <w:spacing w:after="0"/>
              <w:rPr>
                <w:sz w:val="24"/>
                <w:szCs w:val="24"/>
                <w:color w:val="auto"/>
              </w:rPr>
            </w:pPr>
          </w:p>
        </w:tc>
        <w:tc>
          <w:tcPr>
            <w:tcW w:w="2620" w:type="dxa"/>
            <w:vAlign w:val="bottom"/>
          </w:tcPr>
          <w:p>
            <w:pPr>
              <w:jc w:val="right"/>
              <w:ind w:right="52"/>
              <w:spacing w:after="0"/>
              <w:rPr>
                <w:sz w:val="20"/>
                <w:szCs w:val="20"/>
                <w:color w:val="auto"/>
              </w:rPr>
            </w:pPr>
            <w:r>
              <w:rPr>
                <w:rFonts w:ascii="Arial" w:cs="Arial" w:eastAsia="Arial" w:hAnsi="Arial"/>
                <w:sz w:val="22"/>
                <w:szCs w:val="22"/>
                <w:color w:val="auto"/>
              </w:rPr>
              <w:t>52</w:t>
            </w:r>
          </w:p>
        </w:tc>
      </w:tr>
      <w:tr>
        <w:trPr>
          <w:trHeight w:val="453"/>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20" w:type="dxa"/>
            <w:vAlign w:val="bottom"/>
            <w:gridSpan w:val="8"/>
          </w:tcPr>
          <w:p>
            <w:pPr>
              <w:ind w:left="4280"/>
              <w:spacing w:after="0"/>
              <w:rPr>
                <w:sz w:val="20"/>
                <w:szCs w:val="20"/>
                <w:color w:val="auto"/>
              </w:rPr>
            </w:pPr>
            <w:r>
              <w:rPr>
                <w:rFonts w:ascii="Arial" w:cs="Arial" w:eastAsia="Arial" w:hAnsi="Arial"/>
                <w:sz w:val="18"/>
                <w:szCs w:val="18"/>
                <w:color w:val="auto"/>
              </w:rPr>
              <w:t>2</w:t>
            </w:r>
          </w:p>
        </w:tc>
        <w:tc>
          <w:tcPr>
            <w:tcW w:w="224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132"/>
        </w:trPr>
        <w:tc>
          <w:tcPr>
            <w:tcW w:w="6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2420" w:type="dxa"/>
            <w:vAlign w:val="bottom"/>
            <w:tcBorders>
              <w:bottom w:val="single" w:sz="8" w:color="010101"/>
            </w:tcBorders>
          </w:tcPr>
          <w:p>
            <w:pPr>
              <w:spacing w:after="0"/>
              <w:rPr>
                <w:sz w:val="11"/>
                <w:szCs w:val="11"/>
                <w:color w:val="auto"/>
              </w:rPr>
            </w:pPr>
          </w:p>
        </w:tc>
        <w:tc>
          <w:tcPr>
            <w:tcW w:w="2240" w:type="dxa"/>
            <w:vAlign w:val="bottom"/>
            <w:tcBorders>
              <w:bottom w:val="single" w:sz="8" w:color="010101"/>
            </w:tcBorders>
          </w:tcPr>
          <w:p>
            <w:pPr>
              <w:spacing w:after="0"/>
              <w:rPr>
                <w:sz w:val="11"/>
                <w:szCs w:val="11"/>
                <w:color w:val="auto"/>
              </w:rPr>
            </w:pPr>
          </w:p>
        </w:tc>
        <w:tc>
          <w:tcPr>
            <w:tcW w:w="262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 – FINANCIAL INFORMATION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CONDENSED CONSOLIDATED FINANCIAL STATEMENTS (UNAUDITED)</w:t>
      </w:r>
    </w:p>
    <w:p>
      <w:pPr>
        <w:spacing w:after="0" w:line="233" w:lineRule="exact"/>
        <w:rPr>
          <w:sz w:val="20"/>
          <w:szCs w:val="20"/>
          <w:color w:val="auto"/>
        </w:rPr>
      </w:pPr>
    </w:p>
    <w:p>
      <w:pPr>
        <w:ind w:right="5300"/>
        <w:spacing w:after="0" w:line="238" w:lineRule="auto"/>
        <w:rPr>
          <w:sz w:val="20"/>
          <w:szCs w:val="20"/>
          <w:color w:val="auto"/>
        </w:rPr>
      </w:pPr>
      <w:r>
        <w:rPr>
          <w:rFonts w:ascii="Arial" w:cs="Arial" w:eastAsia="Arial" w:hAnsi="Arial"/>
          <w:sz w:val="22"/>
          <w:szCs w:val="22"/>
          <w:b w:val="1"/>
          <w:bCs w:val="1"/>
          <w:color w:val="auto"/>
        </w:rPr>
        <w:t>MONSTER BEVERAGE CORPORATION AND SUBSIDIARIES CONDENSED CONSOLIDATED BALANCE SHEETS AS OF JUNE 30, 2012 AND DECEMBER 31, 2011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 Thousands, Except Par Value)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right"/>
              <w:ind w:right="239"/>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720" w:type="dxa"/>
            <w:vAlign w:val="bottom"/>
            <w:gridSpan w:val="3"/>
          </w:tcPr>
          <w:p>
            <w:pPr>
              <w:ind w:left="220"/>
              <w:spacing w:after="0"/>
              <w:rPr>
                <w:sz w:val="20"/>
                <w:szCs w:val="20"/>
                <w:color w:val="auto"/>
              </w:rPr>
            </w:pPr>
            <w:r>
              <w:rPr>
                <w:rFonts w:ascii="Arial" w:cs="Arial" w:eastAsia="Arial" w:hAnsi="Arial"/>
                <w:sz w:val="16"/>
                <w:szCs w:val="16"/>
                <w:b w:val="1"/>
                <w:bCs w:val="1"/>
                <w:color w:val="auto"/>
              </w:rPr>
              <w:t>June 30, 2012</w:t>
            </w:r>
          </w:p>
        </w:tc>
        <w:tc>
          <w:tcPr>
            <w:tcW w:w="380" w:type="dxa"/>
            <w:vAlign w:val="bottom"/>
          </w:tcPr>
          <w:p>
            <w:pPr>
              <w:spacing w:after="0"/>
              <w:rPr>
                <w:sz w:val="18"/>
                <w:szCs w:val="18"/>
                <w:color w:val="auto"/>
              </w:rPr>
            </w:pPr>
          </w:p>
        </w:tc>
        <w:tc>
          <w:tcPr>
            <w:tcW w:w="1080" w:type="dxa"/>
            <w:vAlign w:val="bottom"/>
          </w:tcPr>
          <w:p>
            <w:pPr>
              <w:jc w:val="right"/>
              <w:ind w:right="539"/>
              <w:spacing w:after="0"/>
              <w:rPr>
                <w:sz w:val="20"/>
                <w:szCs w:val="20"/>
                <w:color w:val="auto"/>
              </w:rPr>
            </w:pPr>
            <w:r>
              <w:rPr>
                <w:rFonts w:ascii="Arial" w:cs="Arial" w:eastAsia="Arial" w:hAnsi="Arial"/>
                <w:sz w:val="16"/>
                <w:szCs w:val="16"/>
                <w:b w:val="1"/>
                <w:bCs w:val="1"/>
                <w:color w:val="auto"/>
              </w:rPr>
              <w:t>2011</w:t>
            </w:r>
          </w:p>
        </w:tc>
      </w:tr>
      <w:tr>
        <w:trPr>
          <w:trHeight w:val="166"/>
        </w:trPr>
        <w:tc>
          <w:tcPr>
            <w:tcW w:w="20" w:type="dxa"/>
            <w:vAlign w:val="bottom"/>
          </w:tcPr>
          <w:p>
            <w:pPr>
              <w:spacing w:after="0"/>
              <w:rPr>
                <w:sz w:val="14"/>
                <w:szCs w:val="14"/>
                <w:color w:val="auto"/>
              </w:rPr>
            </w:pPr>
          </w:p>
        </w:tc>
        <w:tc>
          <w:tcPr>
            <w:tcW w:w="3180" w:type="dxa"/>
            <w:vAlign w:val="bottom"/>
            <w:tcBorders>
              <w:top w:val="single" w:sz="8" w:color="CCEEFF"/>
            </w:tcBorders>
            <w:shd w:val="clear" w:color="auto" w:fill="CCEEFF"/>
          </w:tcPr>
          <w:p>
            <w:pPr>
              <w:spacing w:after="0"/>
              <w:rPr>
                <w:sz w:val="14"/>
                <w:szCs w:val="14"/>
                <w:color w:val="auto"/>
              </w:rPr>
            </w:pPr>
          </w:p>
        </w:tc>
        <w:tc>
          <w:tcPr>
            <w:tcW w:w="5040" w:type="dxa"/>
            <w:vAlign w:val="bottom"/>
            <w:tcBorders>
              <w:top w:val="single" w:sz="8" w:color="CCEEFF"/>
            </w:tcBorders>
            <w:gridSpan w:val="3"/>
            <w:shd w:val="clear" w:color="auto" w:fill="CCEEFF"/>
          </w:tcPr>
          <w:p>
            <w:pPr>
              <w:ind w:left="500"/>
              <w:spacing w:after="0" w:line="145" w:lineRule="exact"/>
              <w:rPr>
                <w:sz w:val="20"/>
                <w:szCs w:val="20"/>
                <w:color w:val="auto"/>
              </w:rPr>
            </w:pPr>
            <w:r>
              <w:rPr>
                <w:rFonts w:ascii="Arial" w:cs="Arial" w:eastAsia="Arial" w:hAnsi="Arial"/>
                <w:sz w:val="16"/>
                <w:szCs w:val="16"/>
                <w:b w:val="1"/>
                <w:bCs w:val="1"/>
                <w:color w:val="auto"/>
              </w:rPr>
              <w:t>ASSETS</w:t>
            </w:r>
          </w:p>
        </w:tc>
        <w:tc>
          <w:tcPr>
            <w:tcW w:w="54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318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CURRENT ASSETS:</w:t>
            </w:r>
          </w:p>
        </w:tc>
        <w:tc>
          <w:tcPr>
            <w:tcW w:w="500" w:type="dxa"/>
            <w:vAlign w:val="bottom"/>
            <w:tcBorders>
              <w:top w:val="single" w:sz="8" w:color="CCEEFF"/>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94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5580" w:type="dxa"/>
            <w:vAlign w:val="bottom"/>
            <w:gridSpan w:val="4"/>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419,167</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359,331</w:t>
            </w:r>
          </w:p>
        </w:tc>
      </w:tr>
      <w:tr>
        <w:trPr>
          <w:trHeight w:val="203"/>
        </w:trPr>
        <w:tc>
          <w:tcPr>
            <w:tcW w:w="20" w:type="dxa"/>
            <w:vAlign w:val="bottom"/>
          </w:tcPr>
          <w:p>
            <w:pPr>
              <w:spacing w:after="0"/>
              <w:rPr>
                <w:sz w:val="17"/>
                <w:szCs w:val="17"/>
                <w:color w:val="auto"/>
              </w:rPr>
            </w:pPr>
          </w:p>
        </w:tc>
        <w:tc>
          <w:tcPr>
            <w:tcW w:w="3180" w:type="dxa"/>
            <w:vAlign w:val="bottom"/>
          </w:tcPr>
          <w:p>
            <w:pPr>
              <w:spacing w:after="0"/>
              <w:rPr>
                <w:sz w:val="20"/>
                <w:szCs w:val="20"/>
                <w:color w:val="auto"/>
              </w:rPr>
            </w:pPr>
            <w:r>
              <w:rPr>
                <w:rFonts w:ascii="Arial" w:cs="Arial" w:eastAsia="Arial" w:hAnsi="Arial"/>
                <w:sz w:val="16"/>
                <w:szCs w:val="16"/>
                <w:color w:val="auto"/>
              </w:rPr>
              <w:t>Short-term investments</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451,063</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411,282</w:t>
            </w:r>
          </w:p>
        </w:tc>
      </w:tr>
      <w:tr>
        <w:trPr>
          <w:trHeight w:val="203"/>
        </w:trPr>
        <w:tc>
          <w:tcPr>
            <w:tcW w:w="20" w:type="dxa"/>
            <w:vAlign w:val="bottom"/>
          </w:tcPr>
          <w:p>
            <w:pPr>
              <w:spacing w:after="0"/>
              <w:rPr>
                <w:sz w:val="17"/>
                <w:szCs w:val="17"/>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6"/>
                <w:szCs w:val="16"/>
                <w:color w:val="auto"/>
              </w:rPr>
              <w:t>Trade accounts receivable, net</w:t>
            </w: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305,707</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218,072</w:t>
            </w:r>
          </w:p>
        </w:tc>
      </w:tr>
      <w:tr>
        <w:trPr>
          <w:trHeight w:val="203"/>
        </w:trPr>
        <w:tc>
          <w:tcPr>
            <w:tcW w:w="20" w:type="dxa"/>
            <w:vAlign w:val="bottom"/>
          </w:tcPr>
          <w:p>
            <w:pPr>
              <w:spacing w:after="0"/>
              <w:rPr>
                <w:sz w:val="17"/>
                <w:szCs w:val="17"/>
                <w:color w:val="auto"/>
              </w:rPr>
            </w:pPr>
          </w:p>
        </w:tc>
        <w:tc>
          <w:tcPr>
            <w:tcW w:w="3180" w:type="dxa"/>
            <w:vAlign w:val="bottom"/>
          </w:tcPr>
          <w:p>
            <w:pPr>
              <w:spacing w:after="0"/>
              <w:rPr>
                <w:sz w:val="20"/>
                <w:szCs w:val="20"/>
                <w:color w:val="auto"/>
              </w:rPr>
            </w:pPr>
            <w:r>
              <w:rPr>
                <w:rFonts w:ascii="Arial" w:cs="Arial" w:eastAsia="Arial" w:hAnsi="Arial"/>
                <w:sz w:val="16"/>
                <w:szCs w:val="16"/>
                <w:color w:val="auto"/>
              </w:rPr>
              <w:t>Distributor receivables</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686</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669</w:t>
            </w:r>
          </w:p>
        </w:tc>
      </w:tr>
      <w:tr>
        <w:trPr>
          <w:trHeight w:val="203"/>
        </w:trPr>
        <w:tc>
          <w:tcPr>
            <w:tcW w:w="20" w:type="dxa"/>
            <w:vAlign w:val="bottom"/>
          </w:tcPr>
          <w:p>
            <w:pPr>
              <w:spacing w:after="0"/>
              <w:rPr>
                <w:sz w:val="17"/>
                <w:szCs w:val="17"/>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6"/>
                <w:szCs w:val="16"/>
                <w:color w:val="auto"/>
              </w:rPr>
              <w:t>Inventories</w:t>
            </w: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199,053</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155,613</w:t>
            </w:r>
          </w:p>
        </w:tc>
      </w:tr>
      <w:tr>
        <w:trPr>
          <w:trHeight w:val="203"/>
        </w:trPr>
        <w:tc>
          <w:tcPr>
            <w:tcW w:w="20" w:type="dxa"/>
            <w:vAlign w:val="bottom"/>
          </w:tcPr>
          <w:p>
            <w:pPr>
              <w:spacing w:after="0"/>
              <w:rPr>
                <w:sz w:val="17"/>
                <w:szCs w:val="17"/>
                <w:color w:val="auto"/>
              </w:rPr>
            </w:pPr>
          </w:p>
        </w:tc>
        <w:tc>
          <w:tcPr>
            <w:tcW w:w="3180" w:type="dxa"/>
            <w:vAlign w:val="bottom"/>
          </w:tcPr>
          <w:p>
            <w:pPr>
              <w:spacing w:after="0"/>
              <w:rPr>
                <w:sz w:val="20"/>
                <w:szCs w:val="20"/>
                <w:color w:val="auto"/>
              </w:rPr>
            </w:pPr>
            <w:r>
              <w:rPr>
                <w:rFonts w:ascii="Arial" w:cs="Arial" w:eastAsia="Arial" w:hAnsi="Arial"/>
                <w:sz w:val="16"/>
                <w:szCs w:val="16"/>
                <w:color w:val="auto"/>
              </w:rPr>
              <w:t>Prepaid expenses and other current assets</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19,414</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20,912</w:t>
            </w:r>
          </w:p>
        </w:tc>
      </w:tr>
      <w:tr>
        <w:trPr>
          <w:trHeight w:val="203"/>
        </w:trPr>
        <w:tc>
          <w:tcPr>
            <w:tcW w:w="20" w:type="dxa"/>
            <w:vAlign w:val="bottom"/>
          </w:tcPr>
          <w:p>
            <w:pPr>
              <w:spacing w:after="0"/>
              <w:rPr>
                <w:sz w:val="17"/>
                <w:szCs w:val="17"/>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6"/>
                <w:szCs w:val="16"/>
                <w:color w:val="auto"/>
              </w:rPr>
              <w:t>Prepaid income taxes</w:t>
            </w: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2,739</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370</w:t>
            </w:r>
          </w:p>
        </w:tc>
      </w:tr>
      <w:tr>
        <w:trPr>
          <w:trHeight w:val="203"/>
        </w:trPr>
        <w:tc>
          <w:tcPr>
            <w:tcW w:w="20" w:type="dxa"/>
            <w:vAlign w:val="bottom"/>
            <w:tcBorders>
              <w:bottom w:val="single" w:sz="8" w:color="CCEEFF"/>
            </w:tcBorders>
          </w:tcPr>
          <w:p>
            <w:pPr>
              <w:spacing w:after="0"/>
              <w:rPr>
                <w:sz w:val="17"/>
                <w:szCs w:val="17"/>
                <w:color w:val="auto"/>
              </w:rPr>
            </w:pPr>
          </w:p>
        </w:tc>
        <w:tc>
          <w:tcPr>
            <w:tcW w:w="31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Deferred income taxes</w:t>
            </w:r>
          </w:p>
        </w:tc>
        <w:tc>
          <w:tcPr>
            <w:tcW w:w="50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394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16,428</w:t>
            </w:r>
          </w:p>
        </w:tc>
        <w:tc>
          <w:tcPr>
            <w:tcW w:w="2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16,428</w:t>
            </w:r>
          </w:p>
        </w:tc>
      </w:tr>
      <w:tr>
        <w:trPr>
          <w:trHeight w:val="50"/>
        </w:trPr>
        <w:tc>
          <w:tcPr>
            <w:tcW w:w="20" w:type="dxa"/>
            <w:vAlign w:val="bottom"/>
            <w:shd w:val="clear" w:color="auto" w:fill="CCEEFF"/>
          </w:tcPr>
          <w:p>
            <w:pPr>
              <w:spacing w:after="0"/>
              <w:rPr>
                <w:sz w:val="4"/>
                <w:szCs w:val="4"/>
                <w:color w:val="auto"/>
              </w:rPr>
            </w:pPr>
          </w:p>
        </w:tc>
        <w:tc>
          <w:tcPr>
            <w:tcW w:w="318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394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1080" w:type="dxa"/>
            <w:vAlign w:val="bottom"/>
            <w:shd w:val="clear" w:color="auto" w:fill="CCEEFF"/>
          </w:tcPr>
          <w:p>
            <w:pPr>
              <w:spacing w:after="0"/>
              <w:rPr>
                <w:sz w:val="4"/>
                <w:szCs w:val="4"/>
                <w:color w:val="auto"/>
              </w:rPr>
            </w:pPr>
          </w:p>
        </w:tc>
      </w:tr>
    </w:tbl>
    <w:p>
      <w:pPr>
        <w:sectPr>
          <w:pgSz w:w="11900" w:h="16900" w:orient="portrait"/>
          <w:cols w:equalWidth="0" w:num="1">
            <w:col w:w="11460"/>
          </w:cols>
          <w:pgMar w:left="240" w:top="521" w:right="19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82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Total current assets</w:t>
            </w: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1,414,257</w:t>
            </w: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1,182,677</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INVESTMENTS</w:t>
            </w: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20,873</w:t>
            </w: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23,194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gridSpan w:val="3"/>
          </w:tcPr>
          <w:p>
            <w:pPr>
              <w:spacing w:after="0"/>
              <w:rPr>
                <w:sz w:val="20"/>
                <w:szCs w:val="20"/>
                <w:color w:val="auto"/>
              </w:rPr>
            </w:pPr>
            <w:r>
              <w:rPr>
                <w:rFonts w:ascii="Arial" w:cs="Arial" w:eastAsia="Arial" w:hAnsi="Arial"/>
                <w:sz w:val="16"/>
                <w:szCs w:val="16"/>
                <w:color w:val="auto"/>
              </w:rPr>
              <w:t>PROPERTY AND EQUIPMENT, net</w:t>
            </w:r>
          </w:p>
        </w:tc>
        <w:tc>
          <w:tcPr>
            <w:tcW w:w="48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55,944</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45,151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DEFERRED INCOME TAXES</w:t>
            </w: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56,002</w:t>
            </w: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58,576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gridSpan w:val="3"/>
          </w:tcPr>
          <w:p>
            <w:pPr>
              <w:spacing w:after="0"/>
              <w:rPr>
                <w:sz w:val="20"/>
                <w:szCs w:val="20"/>
                <w:color w:val="auto"/>
              </w:rPr>
            </w:pPr>
            <w:r>
              <w:rPr>
                <w:rFonts w:ascii="Arial" w:cs="Arial" w:eastAsia="Arial" w:hAnsi="Arial"/>
                <w:sz w:val="16"/>
                <w:szCs w:val="16"/>
                <w:color w:val="auto"/>
              </w:rPr>
              <w:t>INTANGIBLES, net</w:t>
            </w:r>
          </w:p>
        </w:tc>
        <w:tc>
          <w:tcPr>
            <w:tcW w:w="48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50,875</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48,396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OTHER ASSETS</w:t>
            </w:r>
          </w:p>
        </w:tc>
        <w:tc>
          <w:tcPr>
            <w:tcW w:w="4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3,566</w:t>
            </w:r>
          </w:p>
        </w:tc>
        <w:tc>
          <w:tcPr>
            <w:tcW w:w="2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4,405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220" w:type="dxa"/>
            <w:vAlign w:val="bottom"/>
            <w:tcBorders>
              <w:bottom w:val="single" w:sz="8" w:color="CCEEFF"/>
            </w:tcBorders>
          </w:tcPr>
          <w:p>
            <w:pPr>
              <w:spacing w:after="0"/>
              <w:rPr>
                <w:sz w:val="20"/>
                <w:szCs w:val="20"/>
                <w:color w:val="auto"/>
              </w:rPr>
            </w:pPr>
          </w:p>
        </w:tc>
        <w:tc>
          <w:tcPr>
            <w:tcW w:w="6000" w:type="dxa"/>
            <w:vAlign w:val="bottom"/>
            <w:tcBorders>
              <w:bottom w:val="single" w:sz="8" w:color="CCEEFF"/>
            </w:tcBorders>
            <w:gridSpan w:val="2"/>
          </w:tcPr>
          <w:p>
            <w:pPr>
              <w:jc w:val="center"/>
              <w:ind w:right="2460"/>
              <w:spacing w:after="0"/>
              <w:rPr>
                <w:sz w:val="20"/>
                <w:szCs w:val="20"/>
                <w:color w:val="auto"/>
              </w:rPr>
            </w:pPr>
            <w:r>
              <w:rPr>
                <w:rFonts w:ascii="Arial" w:cs="Arial" w:eastAsia="Arial" w:hAnsi="Arial"/>
                <w:sz w:val="16"/>
                <w:szCs w:val="16"/>
                <w:b w:val="1"/>
                <w:bCs w:val="1"/>
                <w:color w:val="auto"/>
                <w:w w:val="86"/>
              </w:rPr>
              <w:t>Total Assets</w:t>
            </w:r>
          </w:p>
        </w:tc>
        <w:tc>
          <w:tcPr>
            <w:tcW w:w="4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1,601,517</w:t>
            </w:r>
          </w:p>
        </w:tc>
        <w:tc>
          <w:tcPr>
            <w:tcW w:w="2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1,362,399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352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20" w:type="dxa"/>
            <w:vAlign w:val="bottom"/>
            <w:gridSpan w:val="3"/>
          </w:tcPr>
          <w:p>
            <w:pPr>
              <w:jc w:val="center"/>
              <w:ind w:right="260"/>
              <w:spacing w:after="0" w:line="162" w:lineRule="exact"/>
              <w:rPr>
                <w:sz w:val="20"/>
                <w:szCs w:val="20"/>
                <w:color w:val="auto"/>
              </w:rPr>
            </w:pPr>
            <w:r>
              <w:rPr>
                <w:rFonts w:ascii="Arial" w:cs="Arial" w:eastAsia="Arial" w:hAnsi="Arial"/>
                <w:sz w:val="16"/>
                <w:szCs w:val="16"/>
                <w:b w:val="1"/>
                <w:bCs w:val="1"/>
                <w:color w:val="auto"/>
              </w:rPr>
              <w:t>LIABILITIES AND STOCKHOLDERS’ EQUITY</w:t>
            </w: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520" w:type="dxa"/>
            <w:vAlign w:val="bottom"/>
            <w:tcBorders>
              <w:top w:val="single" w:sz="8" w:color="auto"/>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gridSpan w:val="3"/>
          </w:tcPr>
          <w:p>
            <w:pPr>
              <w:spacing w:after="0"/>
              <w:rPr>
                <w:sz w:val="20"/>
                <w:szCs w:val="20"/>
                <w:color w:val="auto"/>
              </w:rPr>
            </w:pPr>
            <w:r>
              <w:rPr>
                <w:rFonts w:ascii="Arial" w:cs="Arial" w:eastAsia="Arial" w:hAnsi="Arial"/>
                <w:sz w:val="16"/>
                <w:szCs w:val="16"/>
                <w:color w:val="auto"/>
              </w:rPr>
              <w:t>Accounts payable</w:t>
            </w:r>
          </w:p>
        </w:tc>
        <w:tc>
          <w:tcPr>
            <w:tcW w:w="4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157,212</w:t>
            </w:r>
          </w:p>
        </w:tc>
        <w:tc>
          <w:tcPr>
            <w:tcW w:w="220" w:type="dxa"/>
            <w:vAlign w:val="bottom"/>
          </w:tcPr>
          <w:p>
            <w:pPr>
              <w:spacing w:after="0"/>
              <w:rPr>
                <w:sz w:val="17"/>
                <w:szCs w:val="17"/>
                <w:color w:val="auto"/>
              </w:rPr>
            </w:pPr>
          </w:p>
        </w:tc>
        <w:tc>
          <w:tcPr>
            <w:tcW w:w="4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113,446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Accrued liabilities</w:t>
            </w: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58,217</w:t>
            </w: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31,966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gridSpan w:val="3"/>
          </w:tcPr>
          <w:p>
            <w:pPr>
              <w:spacing w:after="0"/>
              <w:rPr>
                <w:sz w:val="20"/>
                <w:szCs w:val="20"/>
                <w:color w:val="auto"/>
              </w:rPr>
            </w:pPr>
            <w:r>
              <w:rPr>
                <w:rFonts w:ascii="Arial" w:cs="Arial" w:eastAsia="Arial" w:hAnsi="Arial"/>
                <w:sz w:val="16"/>
                <w:szCs w:val="16"/>
                <w:color w:val="auto"/>
              </w:rPr>
              <w:t>Accrued promotional allowances</w:t>
            </w:r>
          </w:p>
        </w:tc>
        <w:tc>
          <w:tcPr>
            <w:tcW w:w="48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61,416</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87,746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Deferred revenue</w:t>
            </w: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12,062</w:t>
            </w: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11,583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gridSpan w:val="3"/>
          </w:tcPr>
          <w:p>
            <w:pPr>
              <w:spacing w:after="0"/>
              <w:rPr>
                <w:sz w:val="20"/>
                <w:szCs w:val="20"/>
                <w:color w:val="auto"/>
              </w:rPr>
            </w:pPr>
            <w:r>
              <w:rPr>
                <w:rFonts w:ascii="Arial" w:cs="Arial" w:eastAsia="Arial" w:hAnsi="Arial"/>
                <w:sz w:val="16"/>
                <w:szCs w:val="16"/>
                <w:color w:val="auto"/>
              </w:rPr>
              <w:t>Accrued compensation</w:t>
            </w:r>
          </w:p>
        </w:tc>
        <w:tc>
          <w:tcPr>
            <w:tcW w:w="48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7,857</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10,353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Income taxes payable</w:t>
            </w:r>
          </w:p>
        </w:tc>
        <w:tc>
          <w:tcPr>
            <w:tcW w:w="4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3,068</w:t>
            </w:r>
          </w:p>
        </w:tc>
        <w:tc>
          <w:tcPr>
            <w:tcW w:w="2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10,996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20" w:type="dxa"/>
            <w:vAlign w:val="bottom"/>
            <w:gridSpan w:val="3"/>
          </w:tcPr>
          <w:p>
            <w:pPr>
              <w:ind w:left="160"/>
              <w:spacing w:after="0"/>
              <w:rPr>
                <w:sz w:val="20"/>
                <w:szCs w:val="20"/>
                <w:color w:val="auto"/>
              </w:rPr>
            </w:pPr>
            <w:r>
              <w:rPr>
                <w:rFonts w:ascii="Arial" w:cs="Arial" w:eastAsia="Arial" w:hAnsi="Arial"/>
                <w:sz w:val="16"/>
                <w:szCs w:val="16"/>
                <w:color w:val="auto"/>
              </w:rPr>
              <w:t>Total current liabilities</w:t>
            </w:r>
          </w:p>
        </w:tc>
        <w:tc>
          <w:tcPr>
            <w:tcW w:w="48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299,832</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266,090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220" w:type="dxa"/>
            <w:vAlign w:val="bottom"/>
            <w:gridSpan w:val="3"/>
          </w:tcPr>
          <w:p>
            <w:pPr>
              <w:spacing w:after="0"/>
              <w:rPr>
                <w:sz w:val="20"/>
                <w:szCs w:val="20"/>
                <w:color w:val="auto"/>
              </w:rPr>
            </w:pPr>
            <w:r>
              <w:rPr>
                <w:rFonts w:ascii="Arial" w:cs="Arial" w:eastAsia="Arial" w:hAnsi="Arial"/>
                <w:sz w:val="16"/>
                <w:szCs w:val="16"/>
                <w:color w:val="auto"/>
              </w:rPr>
              <w:t>DEFERRED REVENUE</w:t>
            </w:r>
          </w:p>
        </w:tc>
        <w:tc>
          <w:tcPr>
            <w:tcW w:w="48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113,756</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117,151</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220" w:type="dxa"/>
            <w:vAlign w:val="bottom"/>
            <w:gridSpan w:val="3"/>
          </w:tcPr>
          <w:p>
            <w:pPr>
              <w:spacing w:after="0"/>
              <w:rPr>
                <w:sz w:val="20"/>
                <w:szCs w:val="20"/>
                <w:color w:val="auto"/>
              </w:rPr>
            </w:pPr>
            <w:r>
              <w:rPr>
                <w:rFonts w:ascii="Arial" w:cs="Arial" w:eastAsia="Arial" w:hAnsi="Arial"/>
                <w:sz w:val="16"/>
                <w:szCs w:val="16"/>
                <w:color w:val="auto"/>
              </w:rPr>
              <w:t>COMMITMENTS AND CONTINGENCIES (Note 9)</w:t>
            </w: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220" w:type="dxa"/>
            <w:vAlign w:val="bottom"/>
            <w:gridSpan w:val="3"/>
          </w:tcPr>
          <w:p>
            <w:pPr>
              <w:spacing w:after="0"/>
              <w:rPr>
                <w:sz w:val="20"/>
                <w:szCs w:val="20"/>
                <w:color w:val="auto"/>
              </w:rPr>
            </w:pPr>
            <w:r>
              <w:rPr>
                <w:rFonts w:ascii="Arial" w:cs="Arial" w:eastAsia="Arial" w:hAnsi="Arial"/>
                <w:sz w:val="16"/>
                <w:szCs w:val="16"/>
                <w:color w:val="auto"/>
              </w:rPr>
              <w:t>STOCKHOLDERS’ EQUITY:</w:t>
            </w: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6"/>
                <w:szCs w:val="16"/>
                <w:color w:val="auto"/>
                <w:w w:val="99"/>
              </w:rPr>
              <w:t>Common stock - $0.005 par value; 240,000 shares authorized; 200,873 shares issued and 176,421 outstanding as of</w:t>
            </w:r>
          </w:p>
        </w:tc>
        <w:tc>
          <w:tcPr>
            <w:tcW w:w="4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June 30, 2012; 198,729 shares issued and 174,277 outstanding as of December 31, 2011</w:t>
            </w: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1,004</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gridSpan w:val="3"/>
          </w:tcPr>
          <w:p>
            <w:pPr>
              <w:spacing w:after="0"/>
              <w:rPr>
                <w:sz w:val="20"/>
                <w:szCs w:val="20"/>
                <w:color w:val="auto"/>
              </w:rPr>
            </w:pPr>
            <w:r>
              <w:rPr>
                <w:rFonts w:ascii="Arial" w:cs="Arial" w:eastAsia="Arial" w:hAnsi="Arial"/>
                <w:sz w:val="16"/>
                <w:szCs w:val="16"/>
                <w:color w:val="auto"/>
              </w:rPr>
              <w:t>Additional paid-in capital</w:t>
            </w:r>
          </w:p>
        </w:tc>
        <w:tc>
          <w:tcPr>
            <w:tcW w:w="48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252,440</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229,301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Retained earnings</w:t>
            </w: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1,354,539</w:t>
            </w: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1,168,644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gridSpan w:val="3"/>
          </w:tcPr>
          <w:p>
            <w:pPr>
              <w:spacing w:after="0"/>
              <w:rPr>
                <w:sz w:val="20"/>
                <w:szCs w:val="20"/>
                <w:color w:val="auto"/>
              </w:rPr>
            </w:pPr>
            <w:r>
              <w:rPr>
                <w:rFonts w:ascii="Arial" w:cs="Arial" w:eastAsia="Arial" w:hAnsi="Arial"/>
                <w:sz w:val="16"/>
                <w:szCs w:val="16"/>
                <w:color w:val="auto"/>
              </w:rPr>
              <w:t>Accumulated other comprehensive loss</w:t>
            </w:r>
          </w:p>
        </w:tc>
        <w:tc>
          <w:tcPr>
            <w:tcW w:w="4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(1,820)</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Common stock in treasury, at cost; 24,452 shares as of June 30, 2012 and December 31, 2011, respectively</w:t>
            </w:r>
          </w:p>
        </w:tc>
        <w:tc>
          <w:tcPr>
            <w:tcW w:w="4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(418,234)</w:t>
            </w:r>
          </w:p>
        </w:tc>
        <w:tc>
          <w:tcPr>
            <w:tcW w:w="2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(418,234)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20" w:type="dxa"/>
            <w:vAlign w:val="bottom"/>
            <w:tcBorders>
              <w:bottom w:val="single" w:sz="8" w:color="CCEEFF"/>
            </w:tcBorders>
            <w:gridSpan w:val="3"/>
          </w:tcPr>
          <w:p>
            <w:pPr>
              <w:ind w:left="220"/>
              <w:spacing w:after="0"/>
              <w:rPr>
                <w:sz w:val="20"/>
                <w:szCs w:val="20"/>
                <w:color w:val="auto"/>
              </w:rPr>
            </w:pPr>
            <w:r>
              <w:rPr>
                <w:rFonts w:ascii="Arial" w:cs="Arial" w:eastAsia="Arial" w:hAnsi="Arial"/>
                <w:sz w:val="16"/>
                <w:szCs w:val="16"/>
                <w:color w:val="auto"/>
              </w:rPr>
              <w:t>Total stockholders’ equity</w:t>
            </w:r>
          </w:p>
        </w:tc>
        <w:tc>
          <w:tcPr>
            <w:tcW w:w="4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1,187,929</w:t>
            </w:r>
          </w:p>
        </w:tc>
        <w:tc>
          <w:tcPr>
            <w:tcW w:w="2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979,158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20" w:type="dxa"/>
            <w:vAlign w:val="bottom"/>
            <w:tcBorders>
              <w:bottom w:val="single" w:sz="8" w:color="CCEEFF"/>
            </w:tcBorders>
            <w:shd w:val="clear" w:color="auto" w:fill="CCEEFF"/>
          </w:tcPr>
          <w:p>
            <w:pPr>
              <w:spacing w:after="0"/>
              <w:rPr>
                <w:sz w:val="17"/>
                <w:szCs w:val="17"/>
                <w:color w:val="auto"/>
              </w:rPr>
            </w:pPr>
          </w:p>
        </w:tc>
        <w:tc>
          <w:tcPr>
            <w:tcW w:w="6000" w:type="dxa"/>
            <w:vAlign w:val="bottom"/>
            <w:tcBorders>
              <w:bottom w:val="single" w:sz="8" w:color="CCEEFF"/>
            </w:tcBorders>
            <w:gridSpan w:val="2"/>
            <w:shd w:val="clear" w:color="auto" w:fill="CCEEFF"/>
          </w:tcPr>
          <w:p>
            <w:pPr>
              <w:jc w:val="center"/>
              <w:ind w:right="2460"/>
              <w:spacing w:after="0"/>
              <w:rPr>
                <w:sz w:val="20"/>
                <w:szCs w:val="20"/>
                <w:color w:val="auto"/>
              </w:rPr>
            </w:pPr>
            <w:r>
              <w:rPr>
                <w:rFonts w:ascii="Arial" w:cs="Arial" w:eastAsia="Arial" w:hAnsi="Arial"/>
                <w:sz w:val="16"/>
                <w:szCs w:val="16"/>
                <w:b w:val="1"/>
                <w:bCs w:val="1"/>
                <w:color w:val="auto"/>
                <w:w w:val="92"/>
              </w:rPr>
              <w:t>Total Liabilities and Stockholders’ Equity</w:t>
            </w:r>
          </w:p>
        </w:tc>
        <w:tc>
          <w:tcPr>
            <w:tcW w:w="4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1,601,517</w:t>
            </w:r>
          </w:p>
        </w:tc>
        <w:tc>
          <w:tcPr>
            <w:tcW w:w="2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1,362,399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5260"/>
        <w:spacing w:after="0" w:line="253" w:lineRule="auto"/>
        <w:rPr>
          <w:sz w:val="20"/>
          <w:szCs w:val="20"/>
          <w:color w:val="auto"/>
        </w:rPr>
      </w:pPr>
      <w:r>
        <w:rPr>
          <w:rFonts w:ascii="Arial" w:cs="Arial" w:eastAsia="Arial" w:hAnsi="Arial"/>
          <w:sz w:val="21"/>
          <w:szCs w:val="21"/>
          <w:b w:val="1"/>
          <w:bCs w:val="1"/>
          <w:color w:val="auto"/>
        </w:rPr>
        <w:t>MONSTER BEVERAGE CORPORATION AND SUBSIDIARIES CONDENSED CONSOLIDATED STATEMENTS OF INCOME</w:t>
      </w:r>
    </w:p>
    <w:p>
      <w:pPr>
        <w:spacing w:after="0" w:line="1" w:lineRule="exact"/>
        <w:rPr>
          <w:sz w:val="20"/>
          <w:szCs w:val="20"/>
          <w:color w:val="auto"/>
        </w:rPr>
      </w:pPr>
    </w:p>
    <w:p>
      <w:pPr>
        <w:ind w:right="4360"/>
        <w:spacing w:after="0" w:line="237" w:lineRule="auto"/>
        <w:rPr>
          <w:sz w:val="20"/>
          <w:szCs w:val="20"/>
          <w:color w:val="auto"/>
        </w:rPr>
      </w:pPr>
      <w:r>
        <w:rPr>
          <w:rFonts w:ascii="Arial" w:cs="Arial" w:eastAsia="Arial" w:hAnsi="Arial"/>
          <w:sz w:val="22"/>
          <w:szCs w:val="22"/>
          <w:b w:val="1"/>
          <w:bCs w:val="1"/>
          <w:color w:val="auto"/>
        </w:rPr>
        <w:t>FOR THE THREE- AND SIX-MONTHS ENDED JUNE 30, 2012 AND 2011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80" w:type="dxa"/>
            <w:vAlign w:val="bottom"/>
            <w:gridSpan w:val="5"/>
          </w:tcPr>
          <w:p>
            <w:pPr>
              <w:ind w:left="300"/>
              <w:spacing w:after="0"/>
              <w:rPr>
                <w:sz w:val="20"/>
                <w:szCs w:val="20"/>
                <w:color w:val="auto"/>
              </w:rPr>
            </w:pPr>
            <w:r>
              <w:rPr>
                <w:rFonts w:ascii="Arial" w:cs="Arial" w:eastAsia="Arial" w:hAnsi="Arial"/>
                <w:sz w:val="18"/>
                <w:szCs w:val="18"/>
                <w:b w:val="1"/>
                <w:bCs w:val="1"/>
                <w:color w:val="auto"/>
              </w:rPr>
              <w:t>Three-Months Ended</w:t>
            </w:r>
          </w:p>
        </w:tc>
        <w:tc>
          <w:tcPr>
            <w:tcW w:w="340" w:type="dxa"/>
            <w:vAlign w:val="bottom"/>
          </w:tcPr>
          <w:p>
            <w:pPr>
              <w:spacing w:after="0"/>
              <w:rPr>
                <w:sz w:val="18"/>
                <w:szCs w:val="18"/>
                <w:color w:val="auto"/>
              </w:rPr>
            </w:pPr>
          </w:p>
        </w:tc>
        <w:tc>
          <w:tcPr>
            <w:tcW w:w="254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Six-Months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592,640</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462,145</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1,047,245</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818,564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285,632</w:t>
            </w: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217,924</w:t>
            </w: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499,068</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388,806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307,008</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244,221</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548,177</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429,758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137,235</w:t>
            </w: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111,739</w:t>
            </w: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252,118</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208,822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169,773</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132,482</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296,059</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220,936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Interest and other (expense) income, net</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624</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(Loss) gain on investments and put options, net (Note 3)</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363</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other (expense) income</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274</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286</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3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169,713</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132,756</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296,345</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221,512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59,918</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48,508</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110,450</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82,221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109,795</w:t>
            </w:r>
          </w:p>
        </w:tc>
        <w:tc>
          <w:tcPr>
            <w:tcW w:w="1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84,248</w:t>
            </w:r>
          </w:p>
        </w:tc>
        <w:tc>
          <w:tcPr>
            <w:tcW w:w="1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185,895</w:t>
            </w:r>
          </w:p>
        </w:tc>
        <w:tc>
          <w:tcPr>
            <w:tcW w:w="1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139,291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0.62</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0.48</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1.06</w:t>
            </w:r>
          </w:p>
        </w:tc>
        <w:tc>
          <w:tcPr>
            <w:tcW w:w="1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vMerge w:val="restart"/>
          </w:tcPr>
          <w:p>
            <w:pPr>
              <w:ind w:left="16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40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0.59</w:t>
            </w:r>
          </w:p>
        </w:tc>
        <w:tc>
          <w:tcPr>
            <w:tcW w:w="1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0.45</w:t>
            </w:r>
          </w:p>
        </w:tc>
        <w:tc>
          <w:tcPr>
            <w:tcW w:w="1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1.00</w:t>
            </w:r>
          </w:p>
        </w:tc>
        <w:tc>
          <w:tcPr>
            <w:tcW w:w="1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WEIGHTED AVERAGE NUMBER OF SHARES OF COMMON</w:t>
      </w:r>
    </w:p>
    <w:p>
      <w:pPr>
        <w:sectPr>
          <w:pgSz w:w="11900" w:h="16838" w:orient="portrait"/>
          <w:cols w:equalWidth="0" w:num="1">
            <w:col w:w="11420"/>
          </w:cols>
          <w:pgMar w:left="240" w:top="140" w:right="239" w:bottom="0" w:gutter="0" w:footer="0" w:header="0"/>
        </w:sectPr>
      </w:pPr>
    </w:p>
    <w:bookmarkStart w:id="3" w:name="page4"/>
    <w:bookmarkEnd w:id="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tcPr>
          <w:p>
            <w:pPr>
              <w:ind w:left="180"/>
              <w:spacing w:after="0"/>
              <w:rPr>
                <w:sz w:val="20"/>
                <w:szCs w:val="20"/>
                <w:color w:val="auto"/>
              </w:rPr>
            </w:pPr>
            <w:r>
              <w:rPr>
                <w:rFonts w:ascii="Arial" w:cs="Arial" w:eastAsia="Arial" w:hAnsi="Arial"/>
                <w:sz w:val="18"/>
                <w:szCs w:val="18"/>
                <w:color w:val="auto"/>
              </w:rPr>
              <w:t>STOCK AND COMMON STOCK EQUIVALENTS:</w:t>
            </w: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176,186</w:t>
            </w:r>
          </w:p>
        </w:tc>
        <w:tc>
          <w:tcPr>
            <w:tcW w:w="18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176,950</w:t>
            </w:r>
          </w:p>
        </w:tc>
        <w:tc>
          <w:tcPr>
            <w:tcW w:w="1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175,509</w:t>
            </w: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177,402</w:t>
            </w:r>
          </w:p>
        </w:tc>
        <w:tc>
          <w:tcPr>
            <w:tcW w:w="0" w:type="dxa"/>
            <w:vAlign w:val="bottom"/>
          </w:tcPr>
          <w:p>
            <w:pPr>
              <w:spacing w:after="0"/>
              <w:rPr>
                <w:sz w:val="1"/>
                <w:szCs w:val="1"/>
                <w:color w:val="auto"/>
              </w:rPr>
            </w:pPr>
          </w:p>
        </w:tc>
      </w:tr>
      <w:tr>
        <w:trPr>
          <w:trHeight w:val="20"/>
        </w:trPr>
        <w:tc>
          <w:tcPr>
            <w:tcW w:w="5420" w:type="dxa"/>
            <w:vAlign w:val="bottom"/>
            <w:vMerge w:val="restart"/>
          </w:tcPr>
          <w:p>
            <w:pPr>
              <w:ind w:left="180"/>
              <w:spacing w:after="0"/>
              <w:rPr>
                <w:sz w:val="20"/>
                <w:szCs w:val="20"/>
                <w:color w:val="auto"/>
              </w:rPr>
            </w:pPr>
            <w:r>
              <w:rPr>
                <w:rFonts w:ascii="Arial" w:cs="Arial" w:eastAsia="Arial" w:hAnsi="Arial"/>
                <w:sz w:val="18"/>
                <w:szCs w:val="18"/>
                <w:color w:val="auto"/>
              </w:rPr>
              <w:t>Diluted</w:t>
            </w: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20" w:type="dxa"/>
            <w:vAlign w:val="bottom"/>
            <w:vMerge w:val="continue"/>
          </w:tcPr>
          <w:p>
            <w:pPr>
              <w:spacing w:after="0"/>
              <w:rPr>
                <w:sz w:val="17"/>
                <w:szCs w:val="17"/>
                <w:color w:val="auto"/>
              </w:rPr>
            </w:pPr>
          </w:p>
        </w:tc>
        <w:tc>
          <w:tcPr>
            <w:tcW w:w="138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186,284</w:t>
            </w:r>
          </w:p>
        </w:tc>
        <w:tc>
          <w:tcPr>
            <w:tcW w:w="180" w:type="dxa"/>
            <w:vAlign w:val="bottom"/>
          </w:tcPr>
          <w:p>
            <w:pPr>
              <w:spacing w:after="0"/>
              <w:rPr>
                <w:sz w:val="17"/>
                <w:szCs w:val="17"/>
                <w:color w:val="auto"/>
              </w:rPr>
            </w:pPr>
          </w:p>
        </w:tc>
        <w:tc>
          <w:tcPr>
            <w:tcW w:w="13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187,208</w:t>
            </w:r>
          </w:p>
        </w:tc>
        <w:tc>
          <w:tcPr>
            <w:tcW w:w="180" w:type="dxa"/>
            <w:vAlign w:val="bottom"/>
          </w:tcPr>
          <w:p>
            <w:pPr>
              <w:spacing w:after="0"/>
              <w:rPr>
                <w:sz w:val="17"/>
                <w:szCs w:val="17"/>
                <w:color w:val="auto"/>
              </w:rPr>
            </w:pPr>
          </w:p>
        </w:tc>
        <w:tc>
          <w:tcPr>
            <w:tcW w:w="140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185,833</w:t>
            </w:r>
          </w:p>
        </w:tc>
        <w:tc>
          <w:tcPr>
            <w:tcW w:w="160" w:type="dxa"/>
            <w:vAlign w:val="bottom"/>
          </w:tcPr>
          <w:p>
            <w:pPr>
              <w:spacing w:after="0"/>
              <w:rPr>
                <w:sz w:val="17"/>
                <w:szCs w:val="17"/>
                <w:color w:val="auto"/>
              </w:rPr>
            </w:pPr>
          </w:p>
        </w:tc>
        <w:tc>
          <w:tcPr>
            <w:tcW w:w="13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187,284</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3460"/>
        <w:spacing w:after="0" w:line="234" w:lineRule="auto"/>
        <w:rPr>
          <w:sz w:val="20"/>
          <w:szCs w:val="20"/>
          <w:color w:val="auto"/>
        </w:rPr>
      </w:pPr>
      <w:r>
        <w:rPr>
          <w:rFonts w:ascii="Arial" w:cs="Arial" w:eastAsia="Arial" w:hAnsi="Arial"/>
          <w:sz w:val="22"/>
          <w:szCs w:val="22"/>
          <w:b w:val="1"/>
          <w:bCs w:val="1"/>
          <w:color w:val="auto"/>
        </w:rPr>
        <w:t>CONDENSED CONSOLIDATED STATEMENTS OF COMPREHENSIVE INCOME FOR THE THREE- AND SIX-MONTHS ENDED JUNE 30, 2012 AND 2011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40" w:type="dxa"/>
            <w:vAlign w:val="bottom"/>
            <w:gridSpan w:val="5"/>
          </w:tcPr>
          <w:p>
            <w:pPr>
              <w:ind w:left="340"/>
              <w:spacing w:after="0"/>
              <w:rPr>
                <w:sz w:val="20"/>
                <w:szCs w:val="20"/>
                <w:color w:val="auto"/>
              </w:rPr>
            </w:pPr>
            <w:r>
              <w:rPr>
                <w:rFonts w:ascii="Arial" w:cs="Arial" w:eastAsia="Arial" w:hAnsi="Arial"/>
                <w:sz w:val="20"/>
                <w:szCs w:val="20"/>
                <w:color w:val="auto"/>
              </w:rPr>
              <w:t>Three-Months Ended</w:t>
            </w:r>
          </w:p>
        </w:tc>
        <w:tc>
          <w:tcPr>
            <w:tcW w:w="360" w:type="dxa"/>
            <w:vAlign w:val="bottom"/>
          </w:tcPr>
          <w:p>
            <w:pPr>
              <w:spacing w:after="0"/>
              <w:rPr>
                <w:sz w:val="19"/>
                <w:szCs w:val="19"/>
                <w:color w:val="auto"/>
              </w:rPr>
            </w:pPr>
          </w:p>
        </w:tc>
        <w:tc>
          <w:tcPr>
            <w:tcW w:w="2760" w:type="dxa"/>
            <w:vAlign w:val="bottom"/>
            <w:gridSpan w:val="4"/>
          </w:tcPr>
          <w:p>
            <w:pPr>
              <w:jc w:val="right"/>
              <w:ind w:right="781"/>
              <w:spacing w:after="0"/>
              <w:rPr>
                <w:sz w:val="20"/>
                <w:szCs w:val="20"/>
                <w:color w:val="auto"/>
              </w:rPr>
            </w:pPr>
            <w:r>
              <w:rPr>
                <w:rFonts w:ascii="Arial" w:cs="Arial" w:eastAsia="Arial" w:hAnsi="Arial"/>
                <w:sz w:val="20"/>
                <w:szCs w:val="20"/>
                <w:color w:val="auto"/>
              </w:rPr>
              <w:t>Six-Months Ended</w:t>
            </w:r>
          </w:p>
        </w:tc>
      </w:tr>
      <w:tr>
        <w:trPr>
          <w:trHeight w:val="246"/>
        </w:trPr>
        <w:tc>
          <w:tcPr>
            <w:tcW w:w="49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right"/>
              <w:ind w:right="101"/>
              <w:spacing w:after="0"/>
              <w:rPr>
                <w:sz w:val="20"/>
                <w:szCs w:val="20"/>
                <w:color w:val="auto"/>
              </w:rPr>
            </w:pPr>
            <w:r>
              <w:rPr>
                <w:rFonts w:ascii="Arial" w:cs="Arial" w:eastAsia="Arial" w:hAnsi="Arial"/>
                <w:sz w:val="20"/>
                <w:szCs w:val="20"/>
                <w:color w:val="auto"/>
              </w:rPr>
              <w:t>June 30,</w:t>
            </w:r>
          </w:p>
        </w:tc>
        <w:tc>
          <w:tcPr>
            <w:tcW w:w="116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right"/>
              <w:ind w:right="101"/>
              <w:spacing w:after="0"/>
              <w:rPr>
                <w:sz w:val="20"/>
                <w:szCs w:val="20"/>
                <w:color w:val="auto"/>
              </w:rPr>
            </w:pPr>
            <w:r>
              <w:rPr>
                <w:rFonts w:ascii="Arial" w:cs="Arial" w:eastAsia="Arial" w:hAnsi="Arial"/>
                <w:sz w:val="20"/>
                <w:szCs w:val="20"/>
                <w:color w:val="auto"/>
              </w:rPr>
              <w:t>June 30,</w:t>
            </w:r>
          </w:p>
        </w:tc>
        <w:tc>
          <w:tcPr>
            <w:tcW w:w="1100" w:type="dxa"/>
            <w:vAlign w:val="bottom"/>
            <w:tcBorders>
              <w:bottom w:val="single" w:sz="8" w:color="auto"/>
            </w:tcBorders>
          </w:tcPr>
          <w:p>
            <w:pPr>
              <w:spacing w:after="0"/>
              <w:rPr>
                <w:sz w:val="21"/>
                <w:szCs w:val="21"/>
                <w:color w:val="auto"/>
              </w:rPr>
            </w:pPr>
          </w:p>
        </w:tc>
      </w:tr>
      <w:tr>
        <w:trPr>
          <w:trHeight w:val="223"/>
        </w:trPr>
        <w:tc>
          <w:tcPr>
            <w:tcW w:w="49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41"/>
              <w:spacing w:after="0" w:line="223" w:lineRule="exact"/>
              <w:rPr>
                <w:sz w:val="20"/>
                <w:szCs w:val="20"/>
                <w:color w:val="auto"/>
              </w:rPr>
            </w:pPr>
            <w:r>
              <w:rPr>
                <w:rFonts w:ascii="Arial" w:cs="Arial" w:eastAsia="Arial" w:hAnsi="Arial"/>
                <w:sz w:val="20"/>
                <w:szCs w:val="20"/>
                <w:color w:val="auto"/>
              </w:rPr>
              <w:t>2012</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41"/>
              <w:spacing w:after="0" w:line="223" w:lineRule="exact"/>
              <w:rPr>
                <w:sz w:val="20"/>
                <w:szCs w:val="20"/>
                <w:color w:val="auto"/>
              </w:rPr>
            </w:pPr>
            <w:r>
              <w:rPr>
                <w:rFonts w:ascii="Arial" w:cs="Arial" w:eastAsia="Arial" w:hAnsi="Arial"/>
                <w:sz w:val="20"/>
                <w:szCs w:val="20"/>
                <w:color w:val="auto"/>
              </w:rPr>
              <w:t>2011</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21"/>
              <w:spacing w:after="0" w:line="223" w:lineRule="exact"/>
              <w:rPr>
                <w:sz w:val="20"/>
                <w:szCs w:val="20"/>
                <w:color w:val="auto"/>
              </w:rPr>
            </w:pPr>
            <w:r>
              <w:rPr>
                <w:rFonts w:ascii="Arial" w:cs="Arial" w:eastAsia="Arial" w:hAnsi="Arial"/>
                <w:sz w:val="20"/>
                <w:szCs w:val="20"/>
                <w:color w:val="auto"/>
              </w:rPr>
              <w:t>2012</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01"/>
              <w:spacing w:after="0" w:line="223" w:lineRule="exact"/>
              <w:rPr>
                <w:sz w:val="20"/>
                <w:szCs w:val="20"/>
                <w:color w:val="auto"/>
              </w:rPr>
            </w:pPr>
            <w:r>
              <w:rPr>
                <w:rFonts w:ascii="Arial" w:cs="Arial" w:eastAsia="Arial" w:hAnsi="Arial"/>
                <w:sz w:val="20"/>
                <w:szCs w:val="20"/>
                <w:color w:val="auto"/>
              </w:rPr>
              <w:t>2011</w:t>
            </w:r>
          </w:p>
        </w:tc>
      </w:tr>
      <w:tr>
        <w:trPr>
          <w:trHeight w:val="223"/>
        </w:trPr>
        <w:tc>
          <w:tcPr>
            <w:tcW w:w="4900" w:type="dxa"/>
            <w:vAlign w:val="bottom"/>
            <w:shd w:val="clear" w:color="auto" w:fill="CCEEFF"/>
          </w:tcPr>
          <w:p>
            <w:pPr>
              <w:spacing w:after="0" w:line="223" w:lineRule="exact"/>
              <w:rPr>
                <w:sz w:val="20"/>
                <w:szCs w:val="20"/>
                <w:color w:val="auto"/>
              </w:rPr>
            </w:pPr>
            <w:r>
              <w:rPr>
                <w:rFonts w:ascii="Arial" w:cs="Arial" w:eastAsia="Arial" w:hAnsi="Arial"/>
                <w:sz w:val="20"/>
                <w:szCs w:val="20"/>
                <w:color w:val="auto"/>
              </w:rPr>
              <w:t>Net income, as reported</w:t>
            </w:r>
          </w:p>
        </w:tc>
        <w:tc>
          <w:tcPr>
            <w:tcW w:w="360" w:type="dxa"/>
            <w:vAlign w:val="bottom"/>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1160" w:type="dxa"/>
            <w:vAlign w:val="bottom"/>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109,795</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1160" w:type="dxa"/>
            <w:vAlign w:val="bottom"/>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84,248</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1140" w:type="dxa"/>
            <w:vAlign w:val="bottom"/>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185,895</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1100" w:type="dxa"/>
            <w:vAlign w:val="bottom"/>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139,291</w:t>
            </w:r>
          </w:p>
        </w:tc>
      </w:tr>
      <w:tr>
        <w:trPr>
          <w:trHeight w:val="230"/>
        </w:trPr>
        <w:tc>
          <w:tcPr>
            <w:tcW w:w="4900" w:type="dxa"/>
            <w:vAlign w:val="bottom"/>
          </w:tcPr>
          <w:p>
            <w:pPr>
              <w:spacing w:after="0"/>
              <w:rPr>
                <w:sz w:val="20"/>
                <w:szCs w:val="20"/>
                <w:color w:val="auto"/>
              </w:rPr>
            </w:pPr>
            <w:r>
              <w:rPr>
                <w:rFonts w:ascii="Arial" w:cs="Arial" w:eastAsia="Arial" w:hAnsi="Arial"/>
                <w:sz w:val="20"/>
                <w:szCs w:val="20"/>
                <w:color w:val="auto"/>
              </w:rPr>
              <w:t>Other comprehensive income:</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3"/>
        </w:trPr>
        <w:tc>
          <w:tcPr>
            <w:tcW w:w="4900" w:type="dxa"/>
            <w:vAlign w:val="bottom"/>
            <w:shd w:val="clear" w:color="auto" w:fill="CCEEFF"/>
          </w:tcPr>
          <w:p>
            <w:pPr>
              <w:ind w:left="180"/>
              <w:spacing w:after="0" w:line="213" w:lineRule="exact"/>
              <w:rPr>
                <w:sz w:val="20"/>
                <w:szCs w:val="20"/>
                <w:color w:val="auto"/>
              </w:rPr>
            </w:pPr>
            <w:r>
              <w:rPr>
                <w:rFonts w:ascii="Arial" w:cs="Arial" w:eastAsia="Arial" w:hAnsi="Arial"/>
                <w:sz w:val="20"/>
                <w:szCs w:val="20"/>
                <w:color w:val="auto"/>
              </w:rPr>
              <w:t>Change in unrealized gain on available-for-sale</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46"/>
        </w:trPr>
        <w:tc>
          <w:tcPr>
            <w:tcW w:w="4900" w:type="dxa"/>
            <w:vAlign w:val="bottom"/>
            <w:shd w:val="clear" w:color="auto" w:fill="CCEEFF"/>
          </w:tcPr>
          <w:p>
            <w:pPr>
              <w:ind w:left="360"/>
              <w:spacing w:after="0"/>
              <w:rPr>
                <w:sz w:val="20"/>
                <w:szCs w:val="20"/>
                <w:color w:val="auto"/>
              </w:rPr>
            </w:pPr>
            <w:r>
              <w:rPr>
                <w:rFonts w:ascii="Arial" w:cs="Arial" w:eastAsia="Arial" w:hAnsi="Arial"/>
                <w:sz w:val="20"/>
                <w:szCs w:val="20"/>
                <w:color w:val="auto"/>
              </w:rPr>
              <w:t>securities, net of tax</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1,377</w:t>
            </w: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1,478</w:t>
            </w:r>
          </w:p>
        </w:tc>
      </w:tr>
      <w:tr>
        <w:trPr>
          <w:trHeight w:val="230"/>
        </w:trPr>
        <w:tc>
          <w:tcPr>
            <w:tcW w:w="4900" w:type="dxa"/>
            <w:vAlign w:val="bottom"/>
            <w:tcBorders>
              <w:bottom w:val="single" w:sz="8" w:color="CCEEFF"/>
            </w:tcBorders>
          </w:tcPr>
          <w:p>
            <w:pPr>
              <w:ind w:left="180"/>
              <w:spacing w:after="0"/>
              <w:rPr>
                <w:sz w:val="20"/>
                <w:szCs w:val="20"/>
                <w:color w:val="auto"/>
              </w:rPr>
            </w:pPr>
            <w:r>
              <w:rPr>
                <w:rFonts w:ascii="Arial" w:cs="Arial" w:eastAsia="Arial" w:hAnsi="Arial"/>
                <w:sz w:val="20"/>
                <w:szCs w:val="20"/>
                <w:color w:val="auto"/>
              </w:rPr>
              <w:t>Foreign currency translation adjustments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(2,728)</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(483)</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(273)</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245</w:t>
            </w:r>
          </w:p>
        </w:tc>
      </w:tr>
      <w:tr>
        <w:trPr>
          <w:trHeight w:val="223"/>
        </w:trPr>
        <w:tc>
          <w:tcPr>
            <w:tcW w:w="4900" w:type="dxa"/>
            <w:vAlign w:val="bottom"/>
            <w:tcBorders>
              <w:bottom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Comprehensive income</w:t>
            </w:r>
          </w:p>
        </w:tc>
        <w:tc>
          <w:tcPr>
            <w:tcW w:w="360" w:type="dxa"/>
            <w:vAlign w:val="bottom"/>
            <w:tcBorders>
              <w:bottom w:val="single" w:sz="8" w:color="auto"/>
            </w:tcBorders>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107,067</w:t>
            </w:r>
          </w:p>
        </w:tc>
        <w:tc>
          <w:tcPr>
            <w:tcW w:w="1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85,142</w:t>
            </w:r>
          </w:p>
        </w:tc>
        <w:tc>
          <w:tcPr>
            <w:tcW w:w="1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185,622</w:t>
            </w:r>
          </w:p>
        </w:tc>
        <w:tc>
          <w:tcPr>
            <w:tcW w:w="1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141,014</w:t>
            </w:r>
          </w:p>
        </w:tc>
      </w:tr>
      <w:tr>
        <w:trPr>
          <w:trHeight w:val="20"/>
        </w:trPr>
        <w:tc>
          <w:tcPr>
            <w:tcW w:w="4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920"/>
        <w:spacing w:after="0" w:line="239" w:lineRule="auto"/>
        <w:rPr>
          <w:sz w:val="20"/>
          <w:szCs w:val="20"/>
          <w:color w:val="auto"/>
        </w:rPr>
      </w:pPr>
      <w:r>
        <w:rPr>
          <w:rFonts w:ascii="Arial" w:cs="Arial" w:eastAsia="Arial" w:hAnsi="Arial"/>
          <w:sz w:val="22"/>
          <w:szCs w:val="22"/>
          <w:b w:val="1"/>
          <w:bCs w:val="1"/>
          <w:color w:val="auto"/>
        </w:rPr>
        <w:t>MONSTER BEVERAGE CORPORATION AND SUBSIDIARIES CONDENSED CONSOLIDATED STATEMENTS OF CASH FLOWS FOR THE SIX-MONTHS ENDED JUNE 30, 2012 AND 2011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Six-Months Ended</w:t>
            </w:r>
          </w:p>
        </w:tc>
        <w:tc>
          <w:tcPr>
            <w:tcW w:w="12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6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June 30, 2012</w:t>
            </w:r>
          </w:p>
        </w:tc>
        <w:tc>
          <w:tcPr>
            <w:tcW w:w="340" w:type="dxa"/>
            <w:vAlign w:val="bottom"/>
          </w:tcPr>
          <w:p>
            <w:pPr>
              <w:spacing w:after="0"/>
              <w:rPr>
                <w:sz w:val="12"/>
                <w:szCs w:val="12"/>
                <w:color w:val="auto"/>
              </w:rPr>
            </w:pPr>
          </w:p>
        </w:tc>
        <w:tc>
          <w:tcPr>
            <w:tcW w:w="122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June 30, 2011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CASH FLOWS FROM OPERATING ACTIVITIES:</w:t>
            </w:r>
          </w:p>
        </w:tc>
        <w:tc>
          <w:tcPr>
            <w:tcW w:w="300" w:type="dxa"/>
            <w:vAlign w:val="bottom"/>
            <w:tcBorders>
              <w:top w:val="single" w:sz="8" w:color="auto"/>
            </w:tcBorders>
            <w:shd w:val="clear" w:color="auto" w:fill="CCEEFF"/>
          </w:tcPr>
          <w:p>
            <w:pPr>
              <w:spacing w:after="0"/>
              <w:rPr>
                <w:sz w:val="11"/>
                <w:szCs w:val="11"/>
                <w:color w:val="auto"/>
              </w:rPr>
            </w:pPr>
          </w:p>
        </w:tc>
        <w:tc>
          <w:tcPr>
            <w:tcW w:w="14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3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6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185,895</w:t>
            </w:r>
          </w:p>
        </w:tc>
        <w:tc>
          <w:tcPr>
            <w:tcW w:w="300" w:type="dxa"/>
            <w:vAlign w:val="bottom"/>
          </w:tcPr>
          <w:p>
            <w:pPr>
              <w:spacing w:after="0"/>
              <w:rPr>
                <w:sz w:val="12"/>
                <w:szCs w:val="12"/>
                <w:color w:val="auto"/>
              </w:rPr>
            </w:pPr>
          </w:p>
        </w:tc>
        <w:tc>
          <w:tcPr>
            <w:tcW w:w="34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139,291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3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160"/>
              <w:spacing w:after="0" w:line="149" w:lineRule="exact"/>
              <w:rPr>
                <w:sz w:val="20"/>
                <w:szCs w:val="20"/>
                <w:color w:val="auto"/>
              </w:rPr>
            </w:pPr>
            <w:r>
              <w:rPr>
                <w:rFonts w:ascii="Arial" w:cs="Arial" w:eastAsia="Arial" w:hAnsi="Arial"/>
                <w:sz w:val="14"/>
                <w:szCs w:val="14"/>
                <w:color w:val="auto"/>
              </w:rPr>
              <w:t>Amortization of trademark</w:t>
            </w:r>
          </w:p>
        </w:tc>
        <w:tc>
          <w:tcPr>
            <w:tcW w:w="300" w:type="dxa"/>
            <w:vAlign w:val="bottom"/>
          </w:tcPr>
          <w:p>
            <w:pPr>
              <w:spacing w:after="0"/>
              <w:rPr>
                <w:sz w:val="12"/>
                <w:szCs w:val="12"/>
                <w:color w:val="auto"/>
              </w:rPr>
            </w:pPr>
          </w:p>
        </w:tc>
        <w:tc>
          <w:tcPr>
            <w:tcW w:w="1460" w:type="dxa"/>
            <w:vAlign w:val="bottom"/>
          </w:tcPr>
          <w:p>
            <w:pPr>
              <w:jc w:val="right"/>
              <w:ind w:right="68"/>
              <w:spacing w:after="0" w:line="149" w:lineRule="exact"/>
              <w:rPr>
                <w:sz w:val="20"/>
                <w:szCs w:val="20"/>
                <w:color w:val="auto"/>
              </w:rPr>
            </w:pPr>
            <w:r>
              <w:rPr>
                <w:rFonts w:ascii="Arial" w:cs="Arial" w:eastAsia="Arial" w:hAnsi="Arial"/>
                <w:sz w:val="14"/>
                <w:szCs w:val="14"/>
                <w:color w:val="auto"/>
              </w:rPr>
              <w:t>24</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Depreciation and other amortization</w:t>
            </w:r>
          </w:p>
        </w:tc>
        <w:tc>
          <w:tcPr>
            <w:tcW w:w="300" w:type="dxa"/>
            <w:vAlign w:val="bottom"/>
            <w:shd w:val="clear" w:color="auto" w:fill="CCEEFF"/>
          </w:tcPr>
          <w:p>
            <w:pPr>
              <w:spacing w:after="0"/>
              <w:rPr>
                <w:sz w:val="12"/>
                <w:szCs w:val="12"/>
                <w:color w:val="auto"/>
              </w:rPr>
            </w:pPr>
          </w:p>
        </w:tc>
        <w:tc>
          <w:tcPr>
            <w:tcW w:w="146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10,069</w:t>
            </w: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7,671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160"/>
              <w:spacing w:after="0" w:line="149" w:lineRule="exact"/>
              <w:rPr>
                <w:sz w:val="20"/>
                <w:szCs w:val="20"/>
                <w:color w:val="auto"/>
              </w:rPr>
            </w:pPr>
            <w:r>
              <w:rPr>
                <w:rFonts w:ascii="Arial" w:cs="Arial" w:eastAsia="Arial" w:hAnsi="Arial"/>
                <w:sz w:val="14"/>
                <w:szCs w:val="14"/>
                <w:color w:val="auto"/>
              </w:rPr>
              <w:t>Gain on disposal of property and equipment</w:t>
            </w:r>
          </w:p>
        </w:tc>
        <w:tc>
          <w:tcPr>
            <w:tcW w:w="300" w:type="dxa"/>
            <w:vAlign w:val="bottom"/>
          </w:tcPr>
          <w:p>
            <w:pPr>
              <w:spacing w:after="0"/>
              <w:rPr>
                <w:sz w:val="12"/>
                <w:szCs w:val="12"/>
                <w:color w:val="auto"/>
              </w:rPr>
            </w:pPr>
          </w:p>
        </w:tc>
        <w:tc>
          <w:tcPr>
            <w:tcW w:w="14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(50)</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Stock-based compensation</w:t>
            </w:r>
          </w:p>
        </w:tc>
        <w:tc>
          <w:tcPr>
            <w:tcW w:w="300" w:type="dxa"/>
            <w:vAlign w:val="bottom"/>
            <w:shd w:val="clear" w:color="auto" w:fill="CCEEFF"/>
          </w:tcPr>
          <w:p>
            <w:pPr>
              <w:spacing w:after="0"/>
              <w:rPr>
                <w:sz w:val="12"/>
                <w:szCs w:val="12"/>
                <w:color w:val="auto"/>
              </w:rPr>
            </w:pPr>
          </w:p>
        </w:tc>
        <w:tc>
          <w:tcPr>
            <w:tcW w:w="146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13,631</w:t>
            </w: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7,894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160"/>
              <w:spacing w:after="0" w:line="149" w:lineRule="exact"/>
              <w:rPr>
                <w:sz w:val="20"/>
                <w:szCs w:val="20"/>
                <w:color w:val="auto"/>
              </w:rPr>
            </w:pPr>
            <w:r>
              <w:rPr>
                <w:rFonts w:ascii="Arial" w:cs="Arial" w:eastAsia="Arial" w:hAnsi="Arial"/>
                <w:sz w:val="14"/>
                <w:szCs w:val="14"/>
                <w:color w:val="auto"/>
              </w:rPr>
              <w:t>Loss (gain) on put option</w:t>
            </w:r>
          </w:p>
        </w:tc>
        <w:tc>
          <w:tcPr>
            <w:tcW w:w="300" w:type="dxa"/>
            <w:vAlign w:val="bottom"/>
          </w:tcPr>
          <w:p>
            <w:pPr>
              <w:spacing w:after="0"/>
              <w:rPr>
                <w:sz w:val="12"/>
                <w:szCs w:val="12"/>
                <w:color w:val="auto"/>
              </w:rPr>
            </w:pPr>
          </w:p>
        </w:tc>
        <w:tc>
          <w:tcPr>
            <w:tcW w:w="146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1,225</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(Gain) loss on investments, net</w:t>
            </w:r>
          </w:p>
        </w:tc>
        <w:tc>
          <w:tcPr>
            <w:tcW w:w="300" w:type="dxa"/>
            <w:vAlign w:val="bottom"/>
            <w:shd w:val="clear" w:color="auto" w:fill="CCEEFF"/>
          </w:tcPr>
          <w:p>
            <w:pPr>
              <w:spacing w:after="0"/>
              <w:rPr>
                <w:sz w:val="12"/>
                <w:szCs w:val="12"/>
                <w:color w:val="auto"/>
              </w:rPr>
            </w:pPr>
          </w:p>
        </w:tc>
        <w:tc>
          <w:tcPr>
            <w:tcW w:w="14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(1,586)</w:t>
            </w: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160"/>
              <w:spacing w:after="0" w:line="149" w:lineRule="exact"/>
              <w:rPr>
                <w:sz w:val="20"/>
                <w:szCs w:val="20"/>
                <w:color w:val="auto"/>
              </w:rPr>
            </w:pPr>
            <w:r>
              <w:rPr>
                <w:rFonts w:ascii="Arial" w:cs="Arial" w:eastAsia="Arial" w:hAnsi="Arial"/>
                <w:sz w:val="14"/>
                <w:szCs w:val="14"/>
                <w:color w:val="auto"/>
              </w:rPr>
              <w:t>Deferred income taxes</w:t>
            </w:r>
          </w:p>
        </w:tc>
        <w:tc>
          <w:tcPr>
            <w:tcW w:w="300" w:type="dxa"/>
            <w:vAlign w:val="bottom"/>
          </w:tcPr>
          <w:p>
            <w:pPr>
              <w:spacing w:after="0"/>
              <w:rPr>
                <w:sz w:val="12"/>
                <w:szCs w:val="12"/>
                <w:color w:val="auto"/>
              </w:rPr>
            </w:pPr>
          </w:p>
        </w:tc>
        <w:tc>
          <w:tcPr>
            <w:tcW w:w="1460" w:type="dxa"/>
            <w:vAlign w:val="bottom"/>
          </w:tcPr>
          <w:p>
            <w:pPr>
              <w:jc w:val="right"/>
              <w:ind w:right="68"/>
              <w:spacing w:after="0" w:line="149" w:lineRule="exact"/>
              <w:rPr>
                <w:sz w:val="20"/>
                <w:szCs w:val="20"/>
                <w:color w:val="auto"/>
              </w:rPr>
            </w:pPr>
            <w:r>
              <w:rPr>
                <w:rFonts w:ascii="Arial" w:cs="Arial" w:eastAsia="Arial" w:hAnsi="Arial"/>
                <w:sz w:val="14"/>
                <w:szCs w:val="14"/>
                <w:color w:val="auto"/>
              </w:rPr>
              <w:t>2,574</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Tax benefit from exercise of stock options</w:t>
            </w:r>
          </w:p>
        </w:tc>
        <w:tc>
          <w:tcPr>
            <w:tcW w:w="300" w:type="dxa"/>
            <w:vAlign w:val="bottom"/>
            <w:shd w:val="clear" w:color="auto" w:fill="CCEEFF"/>
          </w:tcPr>
          <w:p>
            <w:pPr>
              <w:spacing w:after="0"/>
              <w:rPr>
                <w:sz w:val="12"/>
                <w:szCs w:val="12"/>
                <w:color w:val="auto"/>
              </w:rPr>
            </w:pPr>
          </w:p>
        </w:tc>
        <w:tc>
          <w:tcPr>
            <w:tcW w:w="14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(2,922)</w:t>
            </w: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160"/>
              <w:spacing w:after="0" w:line="149" w:lineRule="exact"/>
              <w:rPr>
                <w:sz w:val="20"/>
                <w:szCs w:val="20"/>
                <w:color w:val="auto"/>
              </w:rPr>
            </w:pPr>
            <w:r>
              <w:rPr>
                <w:rFonts w:ascii="Arial" w:cs="Arial" w:eastAsia="Arial" w:hAnsi="Arial"/>
                <w:sz w:val="14"/>
                <w:szCs w:val="14"/>
                <w:color w:val="auto"/>
              </w:rPr>
              <w:t>Effect on cash of changes in operating assets and liabilities:</w:t>
            </w:r>
          </w:p>
        </w:tc>
        <w:tc>
          <w:tcPr>
            <w:tcW w:w="3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Accounts receivable</w:t>
            </w:r>
          </w:p>
        </w:tc>
        <w:tc>
          <w:tcPr>
            <w:tcW w:w="300" w:type="dxa"/>
            <w:vAlign w:val="bottom"/>
            <w:shd w:val="clear" w:color="auto" w:fill="CCEEFF"/>
          </w:tcPr>
          <w:p>
            <w:pPr>
              <w:spacing w:after="0"/>
              <w:rPr>
                <w:sz w:val="12"/>
                <w:szCs w:val="12"/>
                <w:color w:val="auto"/>
              </w:rPr>
            </w:pPr>
          </w:p>
        </w:tc>
        <w:tc>
          <w:tcPr>
            <w:tcW w:w="14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(87,833)</w:t>
            </w: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(86,953)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520"/>
              <w:spacing w:after="0" w:line="149" w:lineRule="exact"/>
              <w:rPr>
                <w:sz w:val="20"/>
                <w:szCs w:val="20"/>
                <w:color w:val="auto"/>
              </w:rPr>
            </w:pPr>
            <w:r>
              <w:rPr>
                <w:rFonts w:ascii="Arial" w:cs="Arial" w:eastAsia="Arial" w:hAnsi="Arial"/>
                <w:sz w:val="14"/>
                <w:szCs w:val="14"/>
                <w:color w:val="auto"/>
              </w:rPr>
              <w:t>Distributor receivables</w:t>
            </w:r>
          </w:p>
        </w:tc>
        <w:tc>
          <w:tcPr>
            <w:tcW w:w="300" w:type="dxa"/>
            <w:vAlign w:val="bottom"/>
          </w:tcPr>
          <w:p>
            <w:pPr>
              <w:spacing w:after="0"/>
              <w:rPr>
                <w:sz w:val="12"/>
                <w:szCs w:val="12"/>
                <w:color w:val="auto"/>
              </w:rPr>
            </w:pPr>
          </w:p>
        </w:tc>
        <w:tc>
          <w:tcPr>
            <w:tcW w:w="14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(17)</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Inventories</w:t>
            </w:r>
          </w:p>
        </w:tc>
        <w:tc>
          <w:tcPr>
            <w:tcW w:w="300" w:type="dxa"/>
            <w:vAlign w:val="bottom"/>
            <w:shd w:val="clear" w:color="auto" w:fill="CCEEFF"/>
          </w:tcPr>
          <w:p>
            <w:pPr>
              <w:spacing w:after="0"/>
              <w:rPr>
                <w:sz w:val="12"/>
                <w:szCs w:val="12"/>
                <w:color w:val="auto"/>
              </w:rPr>
            </w:pPr>
          </w:p>
        </w:tc>
        <w:tc>
          <w:tcPr>
            <w:tcW w:w="14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(44,289)</w:t>
            </w: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52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300" w:type="dxa"/>
            <w:vAlign w:val="bottom"/>
          </w:tcPr>
          <w:p>
            <w:pPr>
              <w:spacing w:after="0"/>
              <w:rPr>
                <w:sz w:val="12"/>
                <w:szCs w:val="12"/>
                <w:color w:val="auto"/>
              </w:rPr>
            </w:pPr>
          </w:p>
        </w:tc>
        <w:tc>
          <w:tcPr>
            <w:tcW w:w="1460" w:type="dxa"/>
            <w:vAlign w:val="bottom"/>
          </w:tcPr>
          <w:p>
            <w:pPr>
              <w:jc w:val="right"/>
              <w:ind w:right="68"/>
              <w:spacing w:after="0" w:line="149" w:lineRule="exact"/>
              <w:rPr>
                <w:sz w:val="20"/>
                <w:szCs w:val="20"/>
                <w:color w:val="auto"/>
              </w:rPr>
            </w:pPr>
            <w:r>
              <w:rPr>
                <w:rFonts w:ascii="Arial" w:cs="Arial" w:eastAsia="Arial" w:hAnsi="Arial"/>
                <w:sz w:val="14"/>
                <w:szCs w:val="14"/>
                <w:color w:val="auto"/>
              </w:rPr>
              <w:t>640</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Prepaid income taxes</w:t>
            </w:r>
          </w:p>
        </w:tc>
        <w:tc>
          <w:tcPr>
            <w:tcW w:w="300" w:type="dxa"/>
            <w:vAlign w:val="bottom"/>
            <w:shd w:val="clear" w:color="auto" w:fill="CCEEFF"/>
          </w:tcPr>
          <w:p>
            <w:pPr>
              <w:spacing w:after="0"/>
              <w:rPr>
                <w:sz w:val="12"/>
                <w:szCs w:val="12"/>
                <w:color w:val="auto"/>
              </w:rPr>
            </w:pPr>
          </w:p>
        </w:tc>
        <w:tc>
          <w:tcPr>
            <w:tcW w:w="14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(2,444)</w:t>
            </w: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9,737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520"/>
              <w:spacing w:after="0" w:line="149" w:lineRule="exact"/>
              <w:rPr>
                <w:sz w:val="20"/>
                <w:szCs w:val="20"/>
                <w:color w:val="auto"/>
              </w:rPr>
            </w:pPr>
            <w:r>
              <w:rPr>
                <w:rFonts w:ascii="Arial" w:cs="Arial" w:eastAsia="Arial" w:hAnsi="Arial"/>
                <w:sz w:val="14"/>
                <w:szCs w:val="14"/>
                <w:color w:val="auto"/>
              </w:rPr>
              <w:t>Accounts payable</w:t>
            </w:r>
          </w:p>
        </w:tc>
        <w:tc>
          <w:tcPr>
            <w:tcW w:w="300" w:type="dxa"/>
            <w:vAlign w:val="bottom"/>
          </w:tcPr>
          <w:p>
            <w:pPr>
              <w:spacing w:after="0"/>
              <w:rPr>
                <w:sz w:val="12"/>
                <w:szCs w:val="12"/>
                <w:color w:val="auto"/>
              </w:rPr>
            </w:pPr>
          </w:p>
        </w:tc>
        <w:tc>
          <w:tcPr>
            <w:tcW w:w="1460" w:type="dxa"/>
            <w:vAlign w:val="bottom"/>
          </w:tcPr>
          <w:p>
            <w:pPr>
              <w:jc w:val="right"/>
              <w:ind w:right="68"/>
              <w:spacing w:after="0" w:line="149" w:lineRule="exact"/>
              <w:rPr>
                <w:sz w:val="20"/>
                <w:szCs w:val="20"/>
                <w:color w:val="auto"/>
              </w:rPr>
            </w:pPr>
            <w:r>
              <w:rPr>
                <w:rFonts w:ascii="Arial" w:cs="Arial" w:eastAsia="Arial" w:hAnsi="Arial"/>
                <w:sz w:val="14"/>
                <w:szCs w:val="14"/>
                <w:color w:val="auto"/>
              </w:rPr>
              <w:t>45,058</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43,380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Accrued liabilities</w:t>
            </w:r>
          </w:p>
        </w:tc>
        <w:tc>
          <w:tcPr>
            <w:tcW w:w="300" w:type="dxa"/>
            <w:vAlign w:val="bottom"/>
            <w:shd w:val="clear" w:color="auto" w:fill="CCEEFF"/>
          </w:tcPr>
          <w:p>
            <w:pPr>
              <w:spacing w:after="0"/>
              <w:rPr>
                <w:sz w:val="12"/>
                <w:szCs w:val="12"/>
                <w:color w:val="auto"/>
              </w:rPr>
            </w:pPr>
          </w:p>
        </w:tc>
        <w:tc>
          <w:tcPr>
            <w:tcW w:w="146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25,260</w:t>
            </w: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12,518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520"/>
              <w:spacing w:after="0" w:line="149" w:lineRule="exact"/>
              <w:rPr>
                <w:sz w:val="20"/>
                <w:szCs w:val="20"/>
                <w:color w:val="auto"/>
              </w:rPr>
            </w:pPr>
            <w:r>
              <w:rPr>
                <w:rFonts w:ascii="Arial" w:cs="Arial" w:eastAsia="Arial" w:hAnsi="Arial"/>
                <w:sz w:val="14"/>
                <w:szCs w:val="14"/>
                <w:color w:val="auto"/>
              </w:rPr>
              <w:t>Accrued promotional allowances</w:t>
            </w:r>
          </w:p>
        </w:tc>
        <w:tc>
          <w:tcPr>
            <w:tcW w:w="300" w:type="dxa"/>
            <w:vAlign w:val="bottom"/>
          </w:tcPr>
          <w:p>
            <w:pPr>
              <w:spacing w:after="0"/>
              <w:rPr>
                <w:sz w:val="12"/>
                <w:szCs w:val="12"/>
                <w:color w:val="auto"/>
              </w:rPr>
            </w:pPr>
          </w:p>
        </w:tc>
        <w:tc>
          <w:tcPr>
            <w:tcW w:w="14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(24,609)</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(7,049)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Accrued distributor terminations</w:t>
            </w:r>
          </w:p>
        </w:tc>
        <w:tc>
          <w:tcPr>
            <w:tcW w:w="300" w:type="dxa"/>
            <w:vAlign w:val="bottom"/>
            <w:shd w:val="clear" w:color="auto" w:fill="CCEEFF"/>
          </w:tcPr>
          <w:p>
            <w:pPr>
              <w:spacing w:after="0"/>
              <w:rPr>
                <w:sz w:val="12"/>
                <w:szCs w:val="12"/>
                <w:color w:val="auto"/>
              </w:rPr>
            </w:pPr>
          </w:p>
        </w:tc>
        <w:tc>
          <w:tcPr>
            <w:tcW w:w="14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(77)</w:t>
            </w: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520"/>
              <w:spacing w:after="0" w:line="149" w:lineRule="exact"/>
              <w:rPr>
                <w:sz w:val="20"/>
                <w:szCs w:val="20"/>
                <w:color w:val="auto"/>
              </w:rPr>
            </w:pPr>
            <w:r>
              <w:rPr>
                <w:rFonts w:ascii="Arial" w:cs="Arial" w:eastAsia="Arial" w:hAnsi="Arial"/>
                <w:sz w:val="14"/>
                <w:szCs w:val="14"/>
                <w:color w:val="auto"/>
              </w:rPr>
              <w:t>Accrued compensation</w:t>
            </w:r>
          </w:p>
        </w:tc>
        <w:tc>
          <w:tcPr>
            <w:tcW w:w="300" w:type="dxa"/>
            <w:vAlign w:val="bottom"/>
          </w:tcPr>
          <w:p>
            <w:pPr>
              <w:spacing w:after="0"/>
              <w:rPr>
                <w:sz w:val="12"/>
                <w:szCs w:val="12"/>
                <w:color w:val="auto"/>
              </w:rPr>
            </w:pPr>
          </w:p>
        </w:tc>
        <w:tc>
          <w:tcPr>
            <w:tcW w:w="14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(2,509)</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Income taxes payable</w:t>
            </w:r>
          </w:p>
        </w:tc>
        <w:tc>
          <w:tcPr>
            <w:tcW w:w="300" w:type="dxa"/>
            <w:vAlign w:val="bottom"/>
            <w:shd w:val="clear" w:color="auto" w:fill="CCEEFF"/>
          </w:tcPr>
          <w:p>
            <w:pPr>
              <w:spacing w:after="0"/>
              <w:rPr>
                <w:sz w:val="12"/>
                <w:szCs w:val="12"/>
                <w:color w:val="auto"/>
              </w:rPr>
            </w:pPr>
          </w:p>
        </w:tc>
        <w:tc>
          <w:tcPr>
            <w:tcW w:w="14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(5,029)</w:t>
            </w: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9,028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Borders>
              <w:bottom w:val="single" w:sz="8" w:color="CCEEFF"/>
            </w:tcBorders>
          </w:tcPr>
          <w:p>
            <w:pPr>
              <w:ind w:left="520"/>
              <w:spacing w:after="0" w:line="149" w:lineRule="exact"/>
              <w:rPr>
                <w:sz w:val="20"/>
                <w:szCs w:val="20"/>
                <w:color w:val="auto"/>
              </w:rPr>
            </w:pPr>
            <w:r>
              <w:rPr>
                <w:rFonts w:ascii="Arial" w:cs="Arial" w:eastAsia="Arial" w:hAnsi="Arial"/>
                <w:sz w:val="14"/>
                <w:szCs w:val="14"/>
                <w:color w:val="auto"/>
              </w:rPr>
              <w:t>Deferred revenue</w:t>
            </w:r>
          </w:p>
        </w:tc>
        <w:tc>
          <w:tcPr>
            <w:tcW w:w="3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(2,942)</w:t>
            </w:r>
          </w:p>
        </w:tc>
        <w:tc>
          <w:tcPr>
            <w:tcW w:w="3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2"/>
          </w:tcPr>
          <w:p>
            <w:pPr>
              <w:jc w:val="right"/>
              <w:ind w:right="80"/>
              <w:spacing w:after="0" w:line="149" w:lineRule="exact"/>
              <w:rPr>
                <w:sz w:val="20"/>
                <w:szCs w:val="20"/>
                <w:color w:val="auto"/>
              </w:rPr>
            </w:pPr>
            <w:r>
              <w:rPr>
                <w:rFonts w:ascii="Arial" w:cs="Arial" w:eastAsia="Arial" w:hAnsi="Arial"/>
                <w:sz w:val="14"/>
                <w:szCs w:val="14"/>
                <w:color w:val="auto"/>
              </w:rPr>
              <w:t>(2,611)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40" w:type="dxa"/>
            <w:vAlign w:val="bottom"/>
            <w:shd w:val="clear" w:color="auto" w:fill="CCEEFF"/>
          </w:tcPr>
          <w:p>
            <w:pPr>
              <w:ind w:left="700"/>
              <w:spacing w:after="0" w:line="142" w:lineRule="exact"/>
              <w:rPr>
                <w:sz w:val="20"/>
                <w:szCs w:val="20"/>
                <w:color w:val="auto"/>
              </w:rPr>
            </w:pPr>
            <w:r>
              <w:rPr>
                <w:rFonts w:ascii="Arial" w:cs="Arial" w:eastAsia="Arial" w:hAnsi="Arial"/>
                <w:sz w:val="14"/>
                <w:szCs w:val="14"/>
                <w:color w:val="auto"/>
              </w:rPr>
              <w:t>Net cash provided by operating activities</w:t>
            </w:r>
          </w:p>
        </w:tc>
        <w:tc>
          <w:tcPr>
            <w:tcW w:w="300" w:type="dxa"/>
            <w:vAlign w:val="bottom"/>
            <w:shd w:val="clear" w:color="auto" w:fill="CCEEFF"/>
          </w:tcPr>
          <w:p>
            <w:pPr>
              <w:spacing w:after="0"/>
              <w:rPr>
                <w:sz w:val="12"/>
                <w:szCs w:val="12"/>
                <w:color w:val="auto"/>
              </w:rPr>
            </w:pPr>
          </w:p>
        </w:tc>
        <w:tc>
          <w:tcPr>
            <w:tcW w:w="1460" w:type="dxa"/>
            <w:vAlign w:val="bottom"/>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110,069</w:t>
            </w: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123,966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3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spacing w:after="0" w:line="149" w:lineRule="exact"/>
              <w:rPr>
                <w:sz w:val="20"/>
                <w:szCs w:val="20"/>
                <w:color w:val="auto"/>
              </w:rPr>
            </w:pPr>
            <w:r>
              <w:rPr>
                <w:rFonts w:ascii="Arial" w:cs="Arial" w:eastAsia="Arial" w:hAnsi="Arial"/>
                <w:sz w:val="14"/>
                <w:szCs w:val="14"/>
                <w:color w:val="auto"/>
              </w:rPr>
              <w:t>Maturities of held-to-maturity investments</w:t>
            </w:r>
          </w:p>
        </w:tc>
        <w:tc>
          <w:tcPr>
            <w:tcW w:w="300" w:type="dxa"/>
            <w:vAlign w:val="bottom"/>
          </w:tcPr>
          <w:p>
            <w:pPr>
              <w:spacing w:after="0"/>
              <w:rPr>
                <w:sz w:val="12"/>
                <w:szCs w:val="12"/>
                <w:color w:val="auto"/>
              </w:rPr>
            </w:pPr>
          </w:p>
        </w:tc>
        <w:tc>
          <w:tcPr>
            <w:tcW w:w="1460" w:type="dxa"/>
            <w:vAlign w:val="bottom"/>
          </w:tcPr>
          <w:p>
            <w:pPr>
              <w:jc w:val="right"/>
              <w:ind w:right="68"/>
              <w:spacing w:after="0" w:line="149" w:lineRule="exact"/>
              <w:rPr>
                <w:sz w:val="20"/>
                <w:szCs w:val="20"/>
                <w:color w:val="auto"/>
              </w:rPr>
            </w:pPr>
            <w:r>
              <w:rPr>
                <w:rFonts w:ascii="Arial" w:cs="Arial" w:eastAsia="Arial" w:hAnsi="Arial"/>
                <w:sz w:val="14"/>
                <w:szCs w:val="14"/>
                <w:color w:val="auto"/>
              </w:rPr>
              <w:t>316,474</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182,317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Sales of available-for-sale investments</w:t>
            </w:r>
          </w:p>
        </w:tc>
        <w:tc>
          <w:tcPr>
            <w:tcW w:w="300" w:type="dxa"/>
            <w:vAlign w:val="bottom"/>
            <w:shd w:val="clear" w:color="auto" w:fill="CCEEFF"/>
          </w:tcPr>
          <w:p>
            <w:pPr>
              <w:spacing w:after="0"/>
              <w:rPr>
                <w:sz w:val="12"/>
                <w:szCs w:val="12"/>
                <w:color w:val="auto"/>
              </w:rPr>
            </w:pPr>
          </w:p>
        </w:tc>
        <w:tc>
          <w:tcPr>
            <w:tcW w:w="146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33,391</w:t>
            </w: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22,657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spacing w:after="0" w:line="149" w:lineRule="exact"/>
              <w:rPr>
                <w:sz w:val="20"/>
                <w:szCs w:val="20"/>
                <w:color w:val="auto"/>
              </w:rPr>
            </w:pPr>
            <w:r>
              <w:rPr>
                <w:rFonts w:ascii="Arial" w:cs="Arial" w:eastAsia="Arial" w:hAnsi="Arial"/>
                <w:sz w:val="14"/>
                <w:szCs w:val="14"/>
                <w:color w:val="auto"/>
              </w:rPr>
              <w:t>Sales of trading investments</w:t>
            </w:r>
          </w:p>
        </w:tc>
        <w:tc>
          <w:tcPr>
            <w:tcW w:w="300" w:type="dxa"/>
            <w:vAlign w:val="bottom"/>
          </w:tcPr>
          <w:p>
            <w:pPr>
              <w:spacing w:after="0"/>
              <w:rPr>
                <w:sz w:val="12"/>
                <w:szCs w:val="12"/>
                <w:color w:val="auto"/>
              </w:rPr>
            </w:pPr>
          </w:p>
        </w:tc>
        <w:tc>
          <w:tcPr>
            <w:tcW w:w="146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16,540</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14,600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held-to-maturity investments</w:t>
            </w:r>
          </w:p>
        </w:tc>
        <w:tc>
          <w:tcPr>
            <w:tcW w:w="300" w:type="dxa"/>
            <w:vAlign w:val="bottom"/>
            <w:shd w:val="clear" w:color="auto" w:fill="CCEEFF"/>
          </w:tcPr>
          <w:p>
            <w:pPr>
              <w:spacing w:after="0"/>
              <w:rPr>
                <w:sz w:val="12"/>
                <w:szCs w:val="12"/>
                <w:color w:val="auto"/>
              </w:rPr>
            </w:pPr>
          </w:p>
        </w:tc>
        <w:tc>
          <w:tcPr>
            <w:tcW w:w="14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(397,278)</w:t>
            </w: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(228,249)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spacing w:after="0" w:line="149" w:lineRule="exact"/>
              <w:rPr>
                <w:sz w:val="20"/>
                <w:szCs w:val="20"/>
                <w:color w:val="auto"/>
              </w:rPr>
            </w:pPr>
            <w:r>
              <w:rPr>
                <w:rFonts w:ascii="Arial" w:cs="Arial" w:eastAsia="Arial" w:hAnsi="Arial"/>
                <w:sz w:val="14"/>
                <w:szCs w:val="14"/>
                <w:color w:val="auto"/>
              </w:rPr>
              <w:t>Purchases of available-for-sale investments</w:t>
            </w:r>
          </w:p>
        </w:tc>
        <w:tc>
          <w:tcPr>
            <w:tcW w:w="300" w:type="dxa"/>
            <w:vAlign w:val="bottom"/>
          </w:tcPr>
          <w:p>
            <w:pPr>
              <w:spacing w:after="0"/>
              <w:rPr>
                <w:sz w:val="12"/>
                <w:szCs w:val="12"/>
                <w:color w:val="auto"/>
              </w:rPr>
            </w:pPr>
          </w:p>
        </w:tc>
        <w:tc>
          <w:tcPr>
            <w:tcW w:w="14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(5,002)</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(11,874)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property and equipment</w:t>
            </w:r>
          </w:p>
        </w:tc>
        <w:tc>
          <w:tcPr>
            <w:tcW w:w="300" w:type="dxa"/>
            <w:vAlign w:val="bottom"/>
            <w:shd w:val="clear" w:color="auto" w:fill="CCEEFF"/>
          </w:tcPr>
          <w:p>
            <w:pPr>
              <w:spacing w:after="0"/>
              <w:rPr>
                <w:sz w:val="12"/>
                <w:szCs w:val="12"/>
                <w:color w:val="auto"/>
              </w:rPr>
            </w:pPr>
          </w:p>
        </w:tc>
        <w:tc>
          <w:tcPr>
            <w:tcW w:w="14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(19,880)</w:t>
            </w: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(12,311)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spacing w:after="0" w:line="149" w:lineRule="exact"/>
              <w:rPr>
                <w:sz w:val="20"/>
                <w:szCs w:val="20"/>
                <w:color w:val="auto"/>
              </w:rPr>
            </w:pPr>
            <w:r>
              <w:rPr>
                <w:rFonts w:ascii="Arial" w:cs="Arial" w:eastAsia="Arial" w:hAnsi="Arial"/>
                <w:sz w:val="14"/>
                <w:szCs w:val="14"/>
                <w:color w:val="auto"/>
              </w:rPr>
              <w:t>Proceeds from sale of property and equipment</w:t>
            </w:r>
          </w:p>
        </w:tc>
        <w:tc>
          <w:tcPr>
            <w:tcW w:w="300" w:type="dxa"/>
            <w:vAlign w:val="bottom"/>
          </w:tcPr>
          <w:p>
            <w:pPr>
              <w:spacing w:after="0"/>
              <w:rPr>
                <w:sz w:val="12"/>
                <w:szCs w:val="12"/>
                <w:color w:val="auto"/>
              </w:rPr>
            </w:pPr>
          </w:p>
        </w:tc>
        <w:tc>
          <w:tcPr>
            <w:tcW w:w="1460" w:type="dxa"/>
            <w:vAlign w:val="bottom"/>
          </w:tcPr>
          <w:p>
            <w:pPr>
              <w:jc w:val="right"/>
              <w:ind w:right="68"/>
              <w:spacing w:after="0" w:line="149" w:lineRule="exact"/>
              <w:rPr>
                <w:sz w:val="20"/>
                <w:szCs w:val="20"/>
                <w:color w:val="auto"/>
              </w:rPr>
            </w:pPr>
            <w:r>
              <w:rPr>
                <w:rFonts w:ascii="Arial" w:cs="Arial" w:eastAsia="Arial" w:hAnsi="Arial"/>
                <w:sz w:val="14"/>
                <w:szCs w:val="14"/>
                <w:color w:val="auto"/>
              </w:rPr>
              <w:t>226</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Additions to intangibles</w:t>
            </w:r>
          </w:p>
        </w:tc>
        <w:tc>
          <w:tcPr>
            <w:tcW w:w="300" w:type="dxa"/>
            <w:vAlign w:val="bottom"/>
            <w:shd w:val="clear" w:color="auto" w:fill="CCEEFF"/>
          </w:tcPr>
          <w:p>
            <w:pPr>
              <w:spacing w:after="0"/>
              <w:rPr>
                <w:sz w:val="12"/>
                <w:szCs w:val="12"/>
                <w:color w:val="auto"/>
              </w:rPr>
            </w:pPr>
          </w:p>
        </w:tc>
        <w:tc>
          <w:tcPr>
            <w:tcW w:w="14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(2,503)</w:t>
            </w: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Decrease in other assets</w:t>
            </w:r>
          </w:p>
        </w:tc>
        <w:tc>
          <w:tcPr>
            <w:tcW w:w="3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68"/>
              <w:spacing w:after="0" w:line="149" w:lineRule="exact"/>
              <w:rPr>
                <w:sz w:val="20"/>
                <w:szCs w:val="20"/>
                <w:color w:val="auto"/>
              </w:rPr>
            </w:pPr>
            <w:r>
              <w:rPr>
                <w:rFonts w:ascii="Arial" w:cs="Arial" w:eastAsia="Arial" w:hAnsi="Arial"/>
                <w:sz w:val="14"/>
                <w:szCs w:val="14"/>
                <w:color w:val="auto"/>
              </w:rPr>
              <w:t>485</w:t>
            </w:r>
          </w:p>
        </w:tc>
        <w:tc>
          <w:tcPr>
            <w:tcW w:w="3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1,025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40" w:type="dxa"/>
            <w:vAlign w:val="bottom"/>
            <w:shd w:val="clear" w:color="auto" w:fill="CCEEFF"/>
          </w:tcPr>
          <w:p>
            <w:pPr>
              <w:ind w:left="700"/>
              <w:spacing w:after="0" w:line="142" w:lineRule="exact"/>
              <w:rPr>
                <w:sz w:val="20"/>
                <w:szCs w:val="20"/>
                <w:color w:val="auto"/>
              </w:rPr>
            </w:pPr>
            <w:r>
              <w:rPr>
                <w:rFonts w:ascii="Arial" w:cs="Arial" w:eastAsia="Arial" w:hAnsi="Arial"/>
                <w:sz w:val="14"/>
                <w:szCs w:val="14"/>
                <w:color w:val="auto"/>
              </w:rPr>
              <w:t>Net cash used in investing activities</w:t>
            </w:r>
          </w:p>
        </w:tc>
        <w:tc>
          <w:tcPr>
            <w:tcW w:w="300" w:type="dxa"/>
            <w:vAlign w:val="bottom"/>
            <w:shd w:val="clear" w:color="auto" w:fill="CCEEFF"/>
          </w:tcPr>
          <w:p>
            <w:pPr>
              <w:spacing w:after="0"/>
              <w:rPr>
                <w:sz w:val="12"/>
                <w:szCs w:val="12"/>
                <w:color w:val="auto"/>
              </w:rPr>
            </w:pPr>
          </w:p>
        </w:tc>
        <w:tc>
          <w:tcPr>
            <w:tcW w:w="146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(57,547)</w:t>
            </w: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(34,931)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3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spacing w:after="0" w:line="149" w:lineRule="exact"/>
              <w:rPr>
                <w:sz w:val="20"/>
                <w:szCs w:val="20"/>
                <w:color w:val="auto"/>
              </w:rPr>
            </w:pPr>
            <w:r>
              <w:rPr>
                <w:rFonts w:ascii="Arial" w:cs="Arial" w:eastAsia="Arial" w:hAnsi="Arial"/>
                <w:sz w:val="14"/>
                <w:szCs w:val="14"/>
                <w:color w:val="auto"/>
              </w:rPr>
              <w:t>Principal payments on debt</w:t>
            </w:r>
          </w:p>
        </w:tc>
        <w:tc>
          <w:tcPr>
            <w:tcW w:w="300" w:type="dxa"/>
            <w:vAlign w:val="bottom"/>
          </w:tcPr>
          <w:p>
            <w:pPr>
              <w:spacing w:after="0"/>
              <w:rPr>
                <w:sz w:val="12"/>
                <w:szCs w:val="12"/>
                <w:color w:val="auto"/>
              </w:rPr>
            </w:pPr>
          </w:p>
        </w:tc>
        <w:tc>
          <w:tcPr>
            <w:tcW w:w="14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(1,091)</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benefit from exercise of stock options</w:t>
            </w:r>
          </w:p>
        </w:tc>
        <w:tc>
          <w:tcPr>
            <w:tcW w:w="300" w:type="dxa"/>
            <w:vAlign w:val="bottom"/>
            <w:shd w:val="clear" w:color="auto" w:fill="CCEEFF"/>
          </w:tcPr>
          <w:p>
            <w:pPr>
              <w:spacing w:after="0"/>
              <w:rPr>
                <w:sz w:val="12"/>
                <w:szCs w:val="12"/>
                <w:color w:val="auto"/>
              </w:rPr>
            </w:pPr>
          </w:p>
        </w:tc>
        <w:tc>
          <w:tcPr>
            <w:tcW w:w="146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2,922</w:t>
            </w: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spacing w:after="0" w:line="149" w:lineRule="exact"/>
              <w:rPr>
                <w:sz w:val="20"/>
                <w:szCs w:val="20"/>
                <w:color w:val="auto"/>
              </w:rPr>
            </w:pPr>
            <w:r>
              <w:rPr>
                <w:rFonts w:ascii="Arial" w:cs="Arial" w:eastAsia="Arial" w:hAnsi="Arial"/>
                <w:sz w:val="14"/>
                <w:szCs w:val="14"/>
                <w:color w:val="auto"/>
              </w:rPr>
              <w:t>Issuance of common stock</w:t>
            </w:r>
          </w:p>
        </w:tc>
        <w:tc>
          <w:tcPr>
            <w:tcW w:w="300" w:type="dxa"/>
            <w:vAlign w:val="bottom"/>
          </w:tcPr>
          <w:p>
            <w:pPr>
              <w:spacing w:after="0"/>
              <w:rPr>
                <w:sz w:val="12"/>
                <w:szCs w:val="12"/>
                <w:color w:val="auto"/>
              </w:rPr>
            </w:pPr>
          </w:p>
        </w:tc>
        <w:tc>
          <w:tcPr>
            <w:tcW w:w="1460" w:type="dxa"/>
            <w:vAlign w:val="bottom"/>
          </w:tcPr>
          <w:p>
            <w:pPr>
              <w:jc w:val="right"/>
              <w:ind w:right="68"/>
              <w:spacing w:after="0" w:line="149" w:lineRule="exact"/>
              <w:rPr>
                <w:sz w:val="20"/>
                <w:szCs w:val="20"/>
                <w:color w:val="auto"/>
              </w:rPr>
            </w:pPr>
            <w:r>
              <w:rPr>
                <w:rFonts w:ascii="Arial" w:cs="Arial" w:eastAsia="Arial" w:hAnsi="Arial"/>
                <w:sz w:val="14"/>
                <w:szCs w:val="14"/>
                <w:color w:val="auto"/>
              </w:rPr>
              <w:t>6,437</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11,308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common stock held in treasury</w:t>
            </w:r>
          </w:p>
        </w:tc>
        <w:tc>
          <w:tcPr>
            <w:tcW w:w="300" w:type="dxa"/>
            <w:vAlign w:val="bottom"/>
            <w:tcBorders>
              <w:bottom w:val="single" w:sz="8" w:color="auto"/>
            </w:tcBorders>
            <w:shd w:val="clear" w:color="auto" w:fill="CCEEFF"/>
          </w:tcPr>
          <w:p>
            <w:pPr>
              <w:spacing w:after="0"/>
              <w:rPr>
                <w:sz w:val="12"/>
                <w:szCs w:val="12"/>
                <w:color w:val="auto"/>
              </w:rPr>
            </w:pPr>
          </w:p>
        </w:tc>
        <w:tc>
          <w:tcPr>
            <w:tcW w:w="146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(38,862)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40" w:type="dxa"/>
            <w:vAlign w:val="bottom"/>
            <w:tcBorders>
              <w:bottom w:val="single" w:sz="8" w:color="CCEEFF"/>
            </w:tcBorders>
          </w:tcPr>
          <w:p>
            <w:pPr>
              <w:ind w:left="700"/>
              <w:spacing w:after="0" w:line="142" w:lineRule="exact"/>
              <w:rPr>
                <w:sz w:val="20"/>
                <w:szCs w:val="20"/>
                <w:color w:val="auto"/>
              </w:rPr>
            </w:pPr>
            <w:r>
              <w:rPr>
                <w:rFonts w:ascii="Arial" w:cs="Arial" w:eastAsia="Arial" w:hAnsi="Arial"/>
                <w:sz w:val="14"/>
                <w:szCs w:val="14"/>
                <w:color w:val="auto"/>
              </w:rPr>
              <w:t>Net cash provided by (used in) financing activities</w:t>
            </w:r>
          </w:p>
        </w:tc>
        <w:tc>
          <w:tcPr>
            <w:tcW w:w="3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8,268</w:t>
            </w:r>
          </w:p>
        </w:tc>
        <w:tc>
          <w:tcPr>
            <w:tcW w:w="3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color w:val="auto"/>
              </w:rPr>
              <w:t>(27,106)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40" w:type="dxa"/>
            <w:vAlign w:val="bottom"/>
          </w:tcPr>
          <w:p>
            <w:pPr>
              <w:spacing w:after="0" w:line="149" w:lineRule="exact"/>
              <w:rPr>
                <w:sz w:val="20"/>
                <w:szCs w:val="20"/>
                <w:color w:val="auto"/>
              </w:rPr>
            </w:pPr>
            <w:r>
              <w:rPr>
                <w:rFonts w:ascii="Arial" w:cs="Arial" w:eastAsia="Arial" w:hAnsi="Arial"/>
                <w:sz w:val="14"/>
                <w:szCs w:val="14"/>
                <w:color w:val="auto"/>
              </w:rPr>
              <w:t>Effect of exchange rate changes on cash and cash equivalents</w:t>
            </w:r>
          </w:p>
        </w:tc>
        <w:tc>
          <w:tcPr>
            <w:tcW w:w="300" w:type="dxa"/>
            <w:vAlign w:val="bottom"/>
          </w:tcPr>
          <w:p>
            <w:pPr>
              <w:spacing w:after="0"/>
              <w:rPr>
                <w:sz w:val="12"/>
                <w:szCs w:val="12"/>
                <w:color w:val="auto"/>
              </w:rPr>
            </w:pPr>
          </w:p>
        </w:tc>
        <w:tc>
          <w:tcPr>
            <w:tcW w:w="14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(954)</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1,426</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6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vMerge w:val="restart"/>
          </w:tcPr>
          <w:p>
            <w:pPr>
              <w:spacing w:after="0"/>
              <w:rPr>
                <w:sz w:val="12"/>
                <w:szCs w:val="12"/>
                <w:color w:val="auto"/>
              </w:rPr>
            </w:pPr>
          </w:p>
        </w:tc>
        <w:tc>
          <w:tcPr>
            <w:tcW w:w="76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40" w:type="dxa"/>
            <w:vAlign w:val="bottom"/>
          </w:tcPr>
          <w:p>
            <w:pPr>
              <w:spacing w:after="0" w:line="149" w:lineRule="exact"/>
              <w:rPr>
                <w:sz w:val="20"/>
                <w:szCs w:val="20"/>
                <w:color w:val="auto"/>
              </w:rPr>
            </w:pPr>
            <w:r>
              <w:rPr>
                <w:rFonts w:ascii="Arial" w:cs="Arial" w:eastAsia="Arial" w:hAnsi="Arial"/>
                <w:sz w:val="14"/>
                <w:szCs w:val="14"/>
                <w:color w:val="auto"/>
              </w:rPr>
              <w:t>NET INCREASE IN CASH AND CASH EQUIVALENTS</w:t>
            </w:r>
          </w:p>
        </w:tc>
        <w:tc>
          <w:tcPr>
            <w:tcW w:w="680" w:type="dxa"/>
            <w:vAlign w:val="bottom"/>
          </w:tcPr>
          <w:p>
            <w:pPr>
              <w:spacing w:after="0"/>
              <w:rPr>
                <w:sz w:val="12"/>
                <w:szCs w:val="12"/>
                <w:color w:val="auto"/>
              </w:rPr>
            </w:pPr>
          </w:p>
        </w:tc>
        <w:tc>
          <w:tcPr>
            <w:tcW w:w="1080" w:type="dxa"/>
            <w:vAlign w:val="bottom"/>
          </w:tcPr>
          <w:p>
            <w:pPr>
              <w:jc w:val="right"/>
              <w:ind w:right="68"/>
              <w:spacing w:after="0" w:line="149" w:lineRule="exact"/>
              <w:rPr>
                <w:sz w:val="20"/>
                <w:szCs w:val="20"/>
                <w:color w:val="auto"/>
              </w:rPr>
            </w:pPr>
            <w:r>
              <w:rPr>
                <w:rFonts w:ascii="Arial" w:cs="Arial" w:eastAsia="Arial" w:hAnsi="Arial"/>
                <w:sz w:val="14"/>
                <w:szCs w:val="14"/>
                <w:color w:val="auto"/>
              </w:rPr>
              <w:t>59,836</w:t>
            </w: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40" w:type="dxa"/>
            <w:vAlign w:val="bottom"/>
          </w:tcPr>
          <w:p>
            <w:pPr>
              <w:jc w:val="right"/>
              <w:ind w:right="68"/>
              <w:spacing w:after="0" w:line="149" w:lineRule="exact"/>
              <w:rPr>
                <w:sz w:val="20"/>
                <w:szCs w:val="20"/>
                <w:color w:val="auto"/>
              </w:rPr>
            </w:pPr>
            <w:r>
              <w:rPr>
                <w:rFonts w:ascii="Arial" w:cs="Arial" w:eastAsia="Arial" w:hAnsi="Arial"/>
                <w:sz w:val="14"/>
                <w:szCs w:val="14"/>
                <w:color w:val="auto"/>
              </w:rPr>
              <w:t>63,355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68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359,331</w:t>
            </w:r>
          </w:p>
        </w:tc>
        <w:tc>
          <w:tcPr>
            <w:tcW w:w="30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354,842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6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CASH AND CASH EQUIVALENTS, end of period</w:t>
            </w:r>
          </w:p>
        </w:tc>
        <w:tc>
          <w:tcPr>
            <w:tcW w:w="680" w:type="dxa"/>
            <w:vAlign w:val="bottom"/>
            <w:tcBorders>
              <w:bottom w:val="single" w:sz="8" w:color="auto"/>
            </w:tcBorders>
          </w:tcPr>
          <w:p>
            <w:pPr>
              <w:jc w:val="right"/>
              <w:ind w:right="388"/>
              <w:spacing w:after="0" w:line="142"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419,167</w:t>
            </w:r>
          </w:p>
        </w:tc>
        <w:tc>
          <w:tcPr>
            <w:tcW w:w="3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388"/>
              <w:spacing w:after="0" w:line="142"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418,197</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76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40" w:type="dxa"/>
            <w:vAlign w:val="bottom"/>
          </w:tcPr>
          <w:p>
            <w:pPr>
              <w:spacing w:after="0" w:line="149" w:lineRule="exact"/>
              <w:rPr>
                <w:sz w:val="20"/>
                <w:szCs w:val="20"/>
                <w:color w:val="auto"/>
              </w:rPr>
            </w:pPr>
            <w:r>
              <w:rPr>
                <w:rFonts w:ascii="Arial" w:cs="Arial" w:eastAsia="Arial" w:hAnsi="Arial"/>
                <w:sz w:val="14"/>
                <w:szCs w:val="14"/>
                <w:color w:val="auto"/>
              </w:rPr>
              <w:t>SUPPLEMENTAL INFORMATION:</w:t>
            </w:r>
          </w:p>
        </w:tc>
        <w:tc>
          <w:tcPr>
            <w:tcW w:w="6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Cash paid during the period for:</w:t>
            </w:r>
          </w:p>
        </w:tc>
        <w:tc>
          <w:tcPr>
            <w:tcW w:w="6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40" w:type="dxa"/>
            <w:vAlign w:val="bottom"/>
            <w:tcBorders>
              <w:bottom w:val="single" w:sz="8" w:color="CCEEFF"/>
            </w:tcBorders>
          </w:tcPr>
          <w:p>
            <w:pPr>
              <w:ind w:left="160"/>
              <w:spacing w:after="0" w:line="149" w:lineRule="exact"/>
              <w:rPr>
                <w:sz w:val="20"/>
                <w:szCs w:val="20"/>
                <w:color w:val="auto"/>
              </w:rPr>
            </w:pPr>
            <w:r>
              <w:rPr>
                <w:rFonts w:ascii="Arial" w:cs="Arial" w:eastAsia="Arial" w:hAnsi="Arial"/>
                <w:sz w:val="14"/>
                <w:szCs w:val="14"/>
                <w:color w:val="auto"/>
              </w:rPr>
              <w:t>Interest</w:t>
            </w:r>
          </w:p>
        </w:tc>
        <w:tc>
          <w:tcPr>
            <w:tcW w:w="680" w:type="dxa"/>
            <w:vAlign w:val="bottom"/>
            <w:tcBorders>
              <w:bottom w:val="single" w:sz="8" w:color="auto"/>
            </w:tcBorders>
          </w:tcPr>
          <w:p>
            <w:pPr>
              <w:jc w:val="right"/>
              <w:ind w:right="388"/>
              <w:spacing w:after="0" w:line="149"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68"/>
              <w:spacing w:after="0" w:line="149" w:lineRule="exact"/>
              <w:rPr>
                <w:sz w:val="20"/>
                <w:szCs w:val="20"/>
                <w:color w:val="auto"/>
              </w:rPr>
            </w:pPr>
            <w:r>
              <w:rPr>
                <w:rFonts w:ascii="Arial" w:cs="Arial" w:eastAsia="Arial" w:hAnsi="Arial"/>
                <w:sz w:val="14"/>
                <w:szCs w:val="14"/>
                <w:color w:val="auto"/>
              </w:rPr>
              <w:t>28</w:t>
            </w:r>
          </w:p>
        </w:tc>
        <w:tc>
          <w:tcPr>
            <w:tcW w:w="3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right"/>
              <w:ind w:right="388"/>
              <w:spacing w:after="0" w:line="149"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68"/>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40" w:type="dxa"/>
            <w:vAlign w:val="bottom"/>
            <w:tcBorders>
              <w:bottom w:val="single" w:sz="8" w:color="CCEEFF"/>
            </w:tcBorders>
            <w:shd w:val="clear" w:color="auto" w:fill="CCEEFF"/>
          </w:tcPr>
          <w:p>
            <w:pPr>
              <w:ind w:left="160"/>
              <w:spacing w:after="0" w:line="129" w:lineRule="exact"/>
              <w:rPr>
                <w:sz w:val="20"/>
                <w:szCs w:val="20"/>
                <w:color w:val="auto"/>
              </w:rPr>
            </w:pPr>
            <w:r>
              <w:rPr>
                <w:rFonts w:ascii="Arial" w:cs="Arial" w:eastAsia="Arial" w:hAnsi="Arial"/>
                <w:sz w:val="14"/>
                <w:szCs w:val="14"/>
                <w:color w:val="auto"/>
              </w:rPr>
              <w:t>Income taxes</w:t>
            </w:r>
          </w:p>
        </w:tc>
        <w:tc>
          <w:tcPr>
            <w:tcW w:w="680" w:type="dxa"/>
            <w:vAlign w:val="bottom"/>
            <w:tcBorders>
              <w:bottom w:val="single" w:sz="8" w:color="auto"/>
            </w:tcBorders>
            <w:shd w:val="clear" w:color="auto" w:fill="CCEEFF"/>
          </w:tcPr>
          <w:p>
            <w:pPr>
              <w:jc w:val="right"/>
              <w:ind w:right="388"/>
              <w:spacing w:after="0" w:line="129"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68"/>
              <w:spacing w:after="0" w:line="129" w:lineRule="exact"/>
              <w:rPr>
                <w:sz w:val="20"/>
                <w:szCs w:val="20"/>
                <w:color w:val="auto"/>
              </w:rPr>
            </w:pPr>
            <w:r>
              <w:rPr>
                <w:rFonts w:ascii="Arial" w:cs="Arial" w:eastAsia="Arial" w:hAnsi="Arial"/>
                <w:sz w:val="14"/>
                <w:szCs w:val="14"/>
                <w:color w:val="auto"/>
              </w:rPr>
              <w:t>115,311</w:t>
            </w:r>
          </w:p>
        </w:tc>
        <w:tc>
          <w:tcPr>
            <w:tcW w:w="3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ind w:right="388"/>
              <w:spacing w:after="0" w:line="129"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68"/>
              <w:spacing w:after="0" w:line="129" w:lineRule="exact"/>
              <w:rPr>
                <w:sz w:val="20"/>
                <w:szCs w:val="20"/>
                <w:color w:val="auto"/>
              </w:rPr>
            </w:pPr>
            <w:r>
              <w:rPr>
                <w:rFonts w:ascii="Arial" w:cs="Arial" w:eastAsia="Arial" w:hAnsi="Arial"/>
                <w:sz w:val="14"/>
                <w:szCs w:val="14"/>
                <w:color w:val="auto"/>
              </w:rPr>
              <w:t>63,415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920"/>
        <w:spacing w:after="0" w:line="239" w:lineRule="auto"/>
        <w:rPr>
          <w:sz w:val="20"/>
          <w:szCs w:val="20"/>
          <w:color w:val="auto"/>
        </w:rPr>
      </w:pPr>
      <w:r>
        <w:rPr>
          <w:rFonts w:ascii="Arial" w:cs="Arial" w:eastAsia="Arial" w:hAnsi="Arial"/>
          <w:sz w:val="22"/>
          <w:szCs w:val="22"/>
          <w:b w:val="1"/>
          <w:bCs w:val="1"/>
          <w:color w:val="auto"/>
        </w:rPr>
        <w:t>MONSTER BEVERAGE CORPORATION AND SUBSIDIARIES CONDENSED CONSOLIDATED STATEMENTS OF CASH FLOWS FOR THE SIX-MONTHS ENDED JUNE 30, 2012 AND 2011 (In Thousands) (Unaudited)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SUPPLEMENTAL DISCLOSURE OF NON-CASH ITEMS</w:t>
      </w:r>
    </w:p>
    <w:p>
      <w:pPr>
        <w:spacing w:after="0" w:line="211"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The Company entered into capital leases for the acquisition of promotional vehicles of $1.1 million and $1.8 million for the six-months ended June 30, 2012 and 2011, respectively.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1" w:lineRule="exact"/>
        <w:rPr>
          <w:sz w:val="20"/>
          <w:szCs w:val="20"/>
          <w:color w:val="auto"/>
        </w:rPr>
      </w:pPr>
    </w:p>
    <w:p>
      <w:pPr>
        <w:ind w:left="660" w:hanging="652"/>
        <w:spacing w:after="0"/>
        <w:tabs>
          <w:tab w:leader="none" w:pos="660" w:val="left"/>
        </w:tabs>
        <w:numPr>
          <w:ilvl w:val="0"/>
          <w:numId w:val="1"/>
        </w:numPr>
        <w:rPr>
          <w:rFonts w:ascii="Arial" w:cs="Arial" w:eastAsia="Arial" w:hAnsi="Arial"/>
          <w:sz w:val="22"/>
          <w:szCs w:val="22"/>
          <w:color w:val="auto"/>
        </w:rPr>
      </w:pPr>
      <w:r>
        <w:rPr>
          <w:rFonts w:ascii="Arial" w:cs="Arial" w:eastAsia="Arial" w:hAnsi="Arial"/>
          <w:sz w:val="22"/>
          <w:szCs w:val="22"/>
          <w:color w:val="auto"/>
        </w:rPr>
        <w:t>BASIS OF PRESENTATION</w:t>
      </w:r>
    </w:p>
    <w:p>
      <w:pPr>
        <w:spacing w:after="0" w:line="23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Reference is made to the Notes to Consolidated Financial Statements, in Monster Beverage Corporation and Subsidiaries (the “Company” or “Hansen Natural Corporation”) Annual Report on Form 10-K for the year ended December 31, 2011 (“Form 10-K”) for a summary of significant accounting policies utilized by the Company and its consolidated subsidiaries and other disclosures, which should be read in conjunction with this Quarterly Report on Form 10-Q (“Form 10-Q”).</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The Company’s condensed consolidated financial statements included in this Form 10-Q have been prepared in accordance with accounting principles generally accepted in the United States of America (“GAAP”) and Securities and Exchange Commission (“SEC”) rules and regulations applicable to interim financial reporting. They do not include all the information and footnote disclosures normally included in annual financial statements prepared in accordance with GAAP. The information set forth in these interim condensed consolidated financial statements for the three- and six-months ended June 30, 2012 and 2011 is unaudited and reflects all adjustments, which include only normal recurring adjustments and which in the opinion of management are necessary to make the interim condensed consolidated financial statements not misleading. Results of operations for periods covered by this report may not necessarily be indicative of results of operations for the full year.</w:t>
      </w:r>
    </w:p>
    <w:p>
      <w:pPr>
        <w:spacing w:after="0" w:line="18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preparation of financial statements in conformity with GAAP necessarily requires management to make estimates and assumptions that affect the reported amount of assets and liabilities and disclosure of contingent assets and liabilities at the date of the financial statements and the reported amounts of revenues and expenses during the reporting periods. Actual results could differ from these estimates.</w:t>
      </w:r>
    </w:p>
    <w:p>
      <w:pPr>
        <w:spacing w:after="0" w:line="21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As disclosed in the Company’s Form 10-K, management concluded that its presentation of accounts receivable, net of certain promotional allowances as of December 31, 2010, should be adjusted to present such receivables and accrued expenses on a gross basis with regard to those customers for which the Company does not allow net settlement. Such adjustment did not change total net cash provided by operating activities in the condensed consolidated statement of cash flows for the six-months ended June 30, 2011. However, the following line items within net cash flows from operating activities were adjusted for the six-months ended June 30, 2011 (cash used in operating activities in parentheses); (i) accounts receivable by ($25.7) million; (ii) accounts payable by $28.4 million; (iii) accrued liabilities by $4.4 million; and (iv) accrued promotional allowances by ($7.1) million. See Item 2, “Management Discussion and Analysis of Financial Condition and Results of Operations — Results of Operations” for additional discussion of the Company’s promotional allowances.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sectPr>
      </w:pPr>
    </w:p>
    <w:bookmarkStart w:id="5" w:name="page6"/>
    <w:bookmarkEnd w:id="5"/>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1" w:lineRule="exact"/>
        <w:rPr>
          <w:sz w:val="20"/>
          <w:szCs w:val="20"/>
          <w:color w:val="auto"/>
        </w:rPr>
      </w:pPr>
    </w:p>
    <w:p>
      <w:pPr>
        <w:ind w:left="660" w:hanging="652"/>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RECENT ACCOUNTING PRONOUNCEMENTS</w:t>
      </w:r>
    </w:p>
    <w:p>
      <w:pPr>
        <w:spacing w:after="0" w:line="23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In June 2011, the Financial Accounting Standards Board (the “FASB”) issued Accounting Standards Update (“ASU”) No. 2011-05, “Presentation of Comprehensive Income.” ASU 2011-05 eliminates the option to report other comprehensive income and its components in the statement of changes in stockholders’ equity and requires an entity to present the total of comprehensive income, the components of net income and the components of other comprehensive income either in a single continuous statement or in two separate but consecutive statements. ASU 2011-05 became effective for the Company on January 1, 2012. The adoption of ASU 2011-05 did not have any impact on the Company’s financial position, results of operations or liquidity.</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In May 2011, the FASB issued ASU No. 2011-04, “Amendments to Achieve Common Fair Value Measurement and Disclosure Requirements in U.S. GAAP and IFRS.” This pronouncement was issued to provide a consistent definition of fair value and ensure that the fair value measurement and disclosure requirements are similar between U.S. GAAP and International Financial Reporting Standards (“IFRS”). ASU 2011-04 changes certain fair value measurement principles and enhances the disclosure requirements particularly for level 3 fair value measurements. ASU 2011-04 became effective for the Company on January 1, 2012. The adoption of ASU 2011-04 did not have any impact on the Company’s financial position, results of operations or liquidity.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8" w:lineRule="exact"/>
        <w:rPr>
          <w:sz w:val="20"/>
          <w:szCs w:val="20"/>
          <w:color w:val="auto"/>
        </w:rPr>
      </w:pPr>
    </w:p>
    <w:p>
      <w:pPr>
        <w:ind w:left="660" w:hanging="652"/>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INVESTMENTS</w:t>
      </w:r>
    </w:p>
    <w:p>
      <w:pPr>
        <w:spacing w:after="0" w:line="233"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The following table summarizes the Company’s investments at: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3"/>
          </w:tcPr>
          <w:p>
            <w:pPr>
              <w:jc w:val="center"/>
              <w:ind w:right="300"/>
              <w:spacing w:after="0"/>
              <w:rPr>
                <w:sz w:val="20"/>
                <w:szCs w:val="20"/>
                <w:color w:val="auto"/>
              </w:rPr>
            </w:pPr>
            <w:r>
              <w:rPr>
                <w:rFonts w:ascii="Arial" w:cs="Arial" w:eastAsia="Arial" w:hAnsi="Arial"/>
                <w:sz w:val="15"/>
                <w:szCs w:val="15"/>
                <w:color w:val="auto"/>
                <w:w w:val="92"/>
              </w:rPr>
              <w:t>Continuous</w:t>
            </w:r>
          </w:p>
        </w:tc>
        <w:tc>
          <w:tcPr>
            <w:tcW w:w="1040" w:type="dxa"/>
            <w:vAlign w:val="bottom"/>
          </w:tcPr>
          <w:p>
            <w:pPr>
              <w:jc w:val="center"/>
              <w:ind w:left="103"/>
              <w:spacing w:after="0"/>
              <w:rPr>
                <w:sz w:val="20"/>
                <w:szCs w:val="20"/>
                <w:color w:val="auto"/>
              </w:rPr>
            </w:pPr>
            <w:r>
              <w:rPr>
                <w:rFonts w:ascii="Arial" w:cs="Arial" w:eastAsia="Arial" w:hAnsi="Arial"/>
                <w:sz w:val="15"/>
                <w:szCs w:val="15"/>
                <w:color w:val="auto"/>
                <w:w w:val="92"/>
              </w:rPr>
              <w:t>Continuous</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left="83"/>
              <w:spacing w:after="0" w:line="162" w:lineRule="exact"/>
              <w:rPr>
                <w:sz w:val="20"/>
                <w:szCs w:val="20"/>
                <w:color w:val="auto"/>
              </w:rPr>
            </w:pPr>
            <w:r>
              <w:rPr>
                <w:rFonts w:ascii="Arial" w:cs="Arial" w:eastAsia="Arial" w:hAnsi="Arial"/>
                <w:sz w:val="15"/>
                <w:szCs w:val="15"/>
                <w:color w:val="auto"/>
                <w:w w:val="89"/>
              </w:rPr>
              <w:t>Gross</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center"/>
              <w:ind w:right="580"/>
              <w:spacing w:after="0" w:line="162" w:lineRule="exact"/>
              <w:rPr>
                <w:sz w:val="20"/>
                <w:szCs w:val="20"/>
                <w:color w:val="auto"/>
              </w:rPr>
            </w:pPr>
            <w:r>
              <w:rPr>
                <w:rFonts w:ascii="Arial" w:cs="Arial" w:eastAsia="Arial" w:hAnsi="Arial"/>
                <w:sz w:val="15"/>
                <w:szCs w:val="15"/>
                <w:color w:val="auto"/>
                <w:w w:val="84"/>
              </w:rPr>
              <w:t>Gross</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520"/>
              <w:spacing w:after="0" w:line="162" w:lineRule="exact"/>
              <w:rPr>
                <w:sz w:val="20"/>
                <w:szCs w:val="20"/>
                <w:color w:val="auto"/>
              </w:rPr>
            </w:pPr>
            <w:r>
              <w:rPr>
                <w:rFonts w:ascii="Arial" w:cs="Arial" w:eastAsia="Arial" w:hAnsi="Arial"/>
                <w:sz w:val="15"/>
                <w:szCs w:val="15"/>
                <w:color w:val="auto"/>
                <w:w w:val="91"/>
              </w:rPr>
              <w:t>Unrealized</w:t>
            </w:r>
          </w:p>
        </w:tc>
        <w:tc>
          <w:tcPr>
            <w:tcW w:w="1040" w:type="dxa"/>
            <w:vAlign w:val="bottom"/>
          </w:tcPr>
          <w:p>
            <w:pPr>
              <w:jc w:val="center"/>
              <w:ind w:left="103"/>
              <w:spacing w:after="0" w:line="162" w:lineRule="exact"/>
              <w:rPr>
                <w:sz w:val="20"/>
                <w:szCs w:val="20"/>
                <w:color w:val="auto"/>
              </w:rPr>
            </w:pPr>
            <w:r>
              <w:rPr>
                <w:rFonts w:ascii="Arial" w:cs="Arial" w:eastAsia="Arial" w:hAnsi="Arial"/>
                <w:sz w:val="15"/>
                <w:szCs w:val="15"/>
                <w:color w:val="auto"/>
                <w:w w:val="91"/>
              </w:rPr>
              <w:t>Unrealized</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left="103"/>
              <w:spacing w:after="0" w:line="162" w:lineRule="exact"/>
              <w:rPr>
                <w:sz w:val="20"/>
                <w:szCs w:val="20"/>
                <w:color w:val="auto"/>
              </w:rPr>
            </w:pPr>
            <w:r>
              <w:rPr>
                <w:rFonts w:ascii="Arial" w:cs="Arial" w:eastAsia="Arial" w:hAnsi="Arial"/>
                <w:sz w:val="15"/>
                <w:szCs w:val="15"/>
                <w:color w:val="auto"/>
                <w:w w:val="91"/>
              </w:rPr>
              <w:t>Unrealized</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3"/>
          </w:tcPr>
          <w:p>
            <w:pPr>
              <w:jc w:val="center"/>
              <w:ind w:right="340"/>
              <w:spacing w:after="0" w:line="162" w:lineRule="exact"/>
              <w:rPr>
                <w:sz w:val="20"/>
                <w:szCs w:val="20"/>
                <w:color w:val="auto"/>
              </w:rPr>
            </w:pPr>
            <w:r>
              <w:rPr>
                <w:rFonts w:ascii="Arial" w:cs="Arial" w:eastAsia="Arial" w:hAnsi="Arial"/>
                <w:sz w:val="15"/>
                <w:szCs w:val="15"/>
                <w:color w:val="auto"/>
                <w:w w:val="91"/>
              </w:rPr>
              <w:t>Unrealized</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3"/>
          </w:tcPr>
          <w:p>
            <w:pPr>
              <w:jc w:val="center"/>
              <w:ind w:right="300"/>
              <w:spacing w:after="0" w:line="162" w:lineRule="exact"/>
              <w:rPr>
                <w:sz w:val="20"/>
                <w:szCs w:val="20"/>
                <w:color w:val="auto"/>
              </w:rPr>
            </w:pPr>
            <w:r>
              <w:rPr>
                <w:rFonts w:ascii="Arial" w:cs="Arial" w:eastAsia="Arial" w:hAnsi="Arial"/>
                <w:sz w:val="15"/>
                <w:szCs w:val="15"/>
                <w:color w:val="auto"/>
                <w:w w:val="91"/>
              </w:rPr>
              <w:t>Loss Position</w:t>
            </w:r>
          </w:p>
        </w:tc>
        <w:tc>
          <w:tcPr>
            <w:tcW w:w="1040" w:type="dxa"/>
            <w:vAlign w:val="bottom"/>
          </w:tcPr>
          <w:p>
            <w:pPr>
              <w:jc w:val="center"/>
              <w:ind w:left="103"/>
              <w:spacing w:after="0" w:line="162" w:lineRule="exact"/>
              <w:rPr>
                <w:sz w:val="20"/>
                <w:szCs w:val="20"/>
                <w:color w:val="auto"/>
              </w:rPr>
            </w:pPr>
            <w:r>
              <w:rPr>
                <w:rFonts w:ascii="Arial" w:cs="Arial" w:eastAsia="Arial" w:hAnsi="Arial"/>
                <w:sz w:val="15"/>
                <w:szCs w:val="15"/>
                <w:color w:val="auto"/>
                <w:w w:val="91"/>
              </w:rPr>
              <w:t>Loss Position</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1360" w:type="dxa"/>
            <w:vAlign w:val="bottom"/>
            <w:gridSpan w:val="3"/>
          </w:tcPr>
          <w:p>
            <w:pPr>
              <w:jc w:val="center"/>
              <w:ind w:right="300"/>
              <w:spacing w:after="0" w:line="162" w:lineRule="exact"/>
              <w:rPr>
                <w:sz w:val="20"/>
                <w:szCs w:val="20"/>
                <w:color w:val="auto"/>
              </w:rPr>
            </w:pPr>
            <w:r>
              <w:rPr>
                <w:rFonts w:ascii="Arial" w:cs="Arial" w:eastAsia="Arial" w:hAnsi="Arial"/>
                <w:sz w:val="15"/>
                <w:szCs w:val="15"/>
                <w:color w:val="auto"/>
                <w:w w:val="97"/>
              </w:rPr>
              <w:t>Amortized</w:t>
            </w:r>
          </w:p>
        </w:tc>
        <w:tc>
          <w:tcPr>
            <w:tcW w:w="880" w:type="dxa"/>
            <w:vAlign w:val="bottom"/>
          </w:tcPr>
          <w:p>
            <w:pPr>
              <w:jc w:val="center"/>
              <w:ind w:left="103"/>
              <w:spacing w:after="0" w:line="162" w:lineRule="exact"/>
              <w:rPr>
                <w:sz w:val="20"/>
                <w:szCs w:val="20"/>
                <w:color w:val="auto"/>
              </w:rPr>
            </w:pPr>
            <w:r>
              <w:rPr>
                <w:rFonts w:ascii="Arial" w:cs="Arial" w:eastAsia="Arial" w:hAnsi="Arial"/>
                <w:sz w:val="15"/>
                <w:szCs w:val="15"/>
                <w:color w:val="auto"/>
                <w:w w:val="98"/>
              </w:rPr>
              <w:t>Holding</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center"/>
              <w:ind w:right="580"/>
              <w:spacing w:after="0" w:line="162" w:lineRule="exact"/>
              <w:rPr>
                <w:sz w:val="20"/>
                <w:szCs w:val="20"/>
                <w:color w:val="auto"/>
              </w:rPr>
            </w:pPr>
            <w:r>
              <w:rPr>
                <w:rFonts w:ascii="Arial" w:cs="Arial" w:eastAsia="Arial" w:hAnsi="Arial"/>
                <w:sz w:val="15"/>
                <w:szCs w:val="15"/>
                <w:color w:val="auto"/>
                <w:w w:val="98"/>
              </w:rPr>
              <w:t>Holding</w:t>
            </w:r>
          </w:p>
        </w:tc>
        <w:tc>
          <w:tcPr>
            <w:tcW w:w="280" w:type="dxa"/>
            <w:vAlign w:val="bottom"/>
          </w:tcPr>
          <w:p>
            <w:pPr>
              <w:spacing w:after="0"/>
              <w:rPr>
                <w:sz w:val="14"/>
                <w:szCs w:val="14"/>
                <w:color w:val="auto"/>
              </w:rPr>
            </w:pPr>
          </w:p>
        </w:tc>
        <w:tc>
          <w:tcPr>
            <w:tcW w:w="880" w:type="dxa"/>
            <w:vAlign w:val="bottom"/>
          </w:tcPr>
          <w:p>
            <w:pPr>
              <w:jc w:val="center"/>
              <w:ind w:right="343"/>
              <w:spacing w:after="0" w:line="162" w:lineRule="exact"/>
              <w:rPr>
                <w:sz w:val="20"/>
                <w:szCs w:val="20"/>
                <w:color w:val="auto"/>
              </w:rPr>
            </w:pPr>
            <w:r>
              <w:rPr>
                <w:rFonts w:ascii="Arial" w:cs="Arial" w:eastAsia="Arial" w:hAnsi="Arial"/>
                <w:sz w:val="15"/>
                <w:szCs w:val="15"/>
                <w:color w:val="auto"/>
              </w:rPr>
              <w:t>Fair</w:t>
            </w:r>
          </w:p>
        </w:tc>
        <w:tc>
          <w:tcPr>
            <w:tcW w:w="160" w:type="dxa"/>
            <w:vAlign w:val="bottom"/>
          </w:tcPr>
          <w:p>
            <w:pPr>
              <w:spacing w:after="0"/>
              <w:rPr>
                <w:sz w:val="14"/>
                <w:szCs w:val="14"/>
                <w:color w:val="auto"/>
              </w:rPr>
            </w:pPr>
          </w:p>
        </w:tc>
        <w:tc>
          <w:tcPr>
            <w:tcW w:w="1400" w:type="dxa"/>
            <w:vAlign w:val="bottom"/>
            <w:gridSpan w:val="3"/>
          </w:tcPr>
          <w:p>
            <w:pPr>
              <w:jc w:val="center"/>
              <w:ind w:right="280"/>
              <w:spacing w:after="0" w:line="162" w:lineRule="exact"/>
              <w:rPr>
                <w:sz w:val="20"/>
                <w:szCs w:val="20"/>
                <w:color w:val="auto"/>
              </w:rPr>
            </w:pPr>
            <w:r>
              <w:rPr>
                <w:rFonts w:ascii="Arial" w:cs="Arial" w:eastAsia="Arial" w:hAnsi="Arial"/>
                <w:sz w:val="15"/>
                <w:szCs w:val="15"/>
                <w:color w:val="auto"/>
                <w:w w:val="88"/>
              </w:rPr>
              <w:t>less than 12</w:t>
            </w:r>
          </w:p>
        </w:tc>
        <w:tc>
          <w:tcPr>
            <w:tcW w:w="1340" w:type="dxa"/>
            <w:vAlign w:val="bottom"/>
            <w:gridSpan w:val="2"/>
          </w:tcPr>
          <w:p>
            <w:pPr>
              <w:jc w:val="center"/>
              <w:ind w:right="43"/>
              <w:spacing w:after="0" w:line="162" w:lineRule="exact"/>
              <w:rPr>
                <w:sz w:val="20"/>
                <w:szCs w:val="20"/>
                <w:color w:val="auto"/>
              </w:rPr>
            </w:pPr>
            <w:r>
              <w:rPr>
                <w:rFonts w:ascii="Arial" w:cs="Arial" w:eastAsia="Arial" w:hAnsi="Arial"/>
                <w:sz w:val="15"/>
                <w:szCs w:val="15"/>
                <w:color w:val="auto"/>
                <w:w w:val="88"/>
              </w:rPr>
              <w:t>greater than 12</w:t>
            </w:r>
          </w:p>
        </w:tc>
        <w:tc>
          <w:tcPr>
            <w:tcW w:w="0" w:type="dxa"/>
            <w:vAlign w:val="bottom"/>
          </w:tcPr>
          <w:p>
            <w:pPr>
              <w:spacing w:after="0"/>
              <w:rPr>
                <w:sz w:val="1"/>
                <w:szCs w:val="1"/>
                <w:color w:val="auto"/>
              </w:rPr>
            </w:pPr>
          </w:p>
        </w:tc>
      </w:tr>
      <w:tr>
        <w:trPr>
          <w:trHeight w:val="182"/>
        </w:trPr>
        <w:tc>
          <w:tcPr>
            <w:tcW w:w="32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June 30, 2012</w:t>
            </w: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center"/>
              <w:ind w:right="620"/>
              <w:spacing w:after="0"/>
              <w:rPr>
                <w:sz w:val="20"/>
                <w:szCs w:val="20"/>
                <w:color w:val="auto"/>
              </w:rPr>
            </w:pPr>
            <w:r>
              <w:rPr>
                <w:rFonts w:ascii="Arial" w:cs="Arial" w:eastAsia="Arial" w:hAnsi="Arial"/>
                <w:sz w:val="15"/>
                <w:szCs w:val="15"/>
                <w:color w:val="auto"/>
                <w:w w:val="90"/>
              </w:rPr>
              <w:t>Cost</w:t>
            </w:r>
          </w:p>
        </w:tc>
        <w:tc>
          <w:tcPr>
            <w:tcW w:w="880" w:type="dxa"/>
            <w:vAlign w:val="bottom"/>
            <w:tcBorders>
              <w:bottom w:val="single" w:sz="8" w:color="auto"/>
            </w:tcBorders>
          </w:tcPr>
          <w:p>
            <w:pPr>
              <w:jc w:val="center"/>
              <w:ind w:left="83"/>
              <w:spacing w:after="0"/>
              <w:rPr>
                <w:sz w:val="20"/>
                <w:szCs w:val="20"/>
                <w:color w:val="auto"/>
              </w:rPr>
            </w:pPr>
            <w:r>
              <w:rPr>
                <w:rFonts w:ascii="Arial" w:cs="Arial" w:eastAsia="Arial" w:hAnsi="Arial"/>
                <w:sz w:val="15"/>
                <w:szCs w:val="15"/>
                <w:color w:val="auto"/>
                <w:w w:val="91"/>
              </w:rPr>
              <w:t>Gains</w:t>
            </w:r>
          </w:p>
        </w:tc>
        <w:tc>
          <w:tcPr>
            <w:tcW w:w="3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ind w:right="580"/>
              <w:spacing w:after="0"/>
              <w:rPr>
                <w:sz w:val="20"/>
                <w:szCs w:val="20"/>
                <w:color w:val="auto"/>
              </w:rPr>
            </w:pPr>
            <w:r>
              <w:rPr>
                <w:rFonts w:ascii="Arial" w:cs="Arial" w:eastAsia="Arial" w:hAnsi="Arial"/>
                <w:sz w:val="15"/>
                <w:szCs w:val="15"/>
                <w:color w:val="auto"/>
                <w:w w:val="88"/>
              </w:rPr>
              <w:t>Losses</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343"/>
              <w:spacing w:after="0"/>
              <w:rPr>
                <w:sz w:val="20"/>
                <w:szCs w:val="20"/>
                <w:color w:val="auto"/>
              </w:rPr>
            </w:pPr>
            <w:r>
              <w:rPr>
                <w:rFonts w:ascii="Arial" w:cs="Arial" w:eastAsia="Arial" w:hAnsi="Arial"/>
                <w:sz w:val="15"/>
                <w:szCs w:val="15"/>
                <w:color w:val="auto"/>
                <w:w w:val="88"/>
              </w:rPr>
              <w:t>Value</w:t>
            </w: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5"/>
                <w:szCs w:val="15"/>
                <w:color w:val="auto"/>
                <w:w w:val="93"/>
              </w:rPr>
              <w:t>Months</w:t>
            </w:r>
          </w:p>
        </w:tc>
        <w:tc>
          <w:tcPr>
            <w:tcW w:w="1040" w:type="dxa"/>
            <w:vAlign w:val="bottom"/>
            <w:tcBorders>
              <w:bottom w:val="single" w:sz="8" w:color="auto"/>
            </w:tcBorders>
          </w:tcPr>
          <w:p>
            <w:pPr>
              <w:jc w:val="center"/>
              <w:ind w:left="103"/>
              <w:spacing w:after="0"/>
              <w:rPr>
                <w:sz w:val="20"/>
                <w:szCs w:val="20"/>
                <w:color w:val="auto"/>
              </w:rPr>
            </w:pPr>
            <w:r>
              <w:rPr>
                <w:rFonts w:ascii="Arial" w:cs="Arial" w:eastAsia="Arial" w:hAnsi="Arial"/>
                <w:sz w:val="15"/>
                <w:szCs w:val="15"/>
                <w:color w:val="auto"/>
                <w:w w:val="93"/>
              </w:rPr>
              <w:t>Months</w:t>
            </w:r>
          </w:p>
        </w:tc>
        <w:tc>
          <w:tcPr>
            <w:tcW w:w="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26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Held-to-Maturity</w:t>
            </w:r>
          </w:p>
        </w:tc>
        <w:tc>
          <w:tcPr>
            <w:tcW w:w="3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tcPr>
          <w:p>
            <w:pPr>
              <w:spacing w:after="0" w:line="162" w:lineRule="exact"/>
              <w:rPr>
                <w:sz w:val="20"/>
                <w:szCs w:val="20"/>
                <w:color w:val="auto"/>
              </w:rPr>
            </w:pPr>
            <w:r>
              <w:rPr>
                <w:rFonts w:ascii="Arial" w:cs="Arial" w:eastAsia="Arial" w:hAnsi="Arial"/>
                <w:sz w:val="15"/>
                <w:szCs w:val="15"/>
                <w:color w:val="auto"/>
              </w:rPr>
              <w:t>Short-term:</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U.S. Treasuries</w:t>
            </w:r>
          </w:p>
        </w:tc>
        <w:tc>
          <w:tcPr>
            <w:tcW w:w="300" w:type="dxa"/>
            <w:vAlign w:val="bottom"/>
            <w:shd w:val="clear" w:color="auto" w:fill="CCEEFF"/>
          </w:tcPr>
          <w:p>
            <w:pPr>
              <w:jc w:val="right"/>
              <w:ind w:right="3"/>
              <w:spacing w:after="0" w:line="162" w:lineRule="exact"/>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83"/>
              <w:spacing w:after="0" w:line="162" w:lineRule="exact"/>
              <w:rPr>
                <w:sz w:val="20"/>
                <w:szCs w:val="20"/>
                <w:color w:val="auto"/>
              </w:rPr>
            </w:pPr>
            <w:r>
              <w:rPr>
                <w:rFonts w:ascii="Arial" w:cs="Arial" w:eastAsia="Arial" w:hAnsi="Arial"/>
                <w:sz w:val="15"/>
                <w:szCs w:val="15"/>
                <w:color w:val="auto"/>
              </w:rPr>
              <w:t>15,325</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563"/>
              <w:spacing w:after="0" w:line="162" w:lineRule="exact"/>
              <w:rPr>
                <w:sz w:val="20"/>
                <w:szCs w:val="20"/>
                <w:color w:val="auto"/>
              </w:rPr>
            </w:pPr>
            <w:r>
              <w:rPr>
                <w:rFonts w:ascii="Arial" w:cs="Arial" w:eastAsia="Arial" w:hAnsi="Arial"/>
                <w:sz w:val="15"/>
                <w:szCs w:val="15"/>
                <w:color w:val="auto"/>
              </w:rPr>
              <w:t>$</w:t>
            </w:r>
          </w:p>
        </w:tc>
        <w:tc>
          <w:tcPr>
            <w:tcW w:w="500" w:type="dxa"/>
            <w:vAlign w:val="bottom"/>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63"/>
              <w:spacing w:after="0" w:line="162" w:lineRule="exact"/>
              <w:rPr>
                <w:sz w:val="20"/>
                <w:szCs w:val="20"/>
                <w:color w:val="auto"/>
              </w:rPr>
            </w:pPr>
            <w:r>
              <w:rPr>
                <w:rFonts w:ascii="Arial" w:cs="Arial" w:eastAsia="Arial" w:hAnsi="Arial"/>
                <w:sz w:val="15"/>
                <w:szCs w:val="15"/>
                <w:color w:val="auto"/>
              </w:rPr>
              <w:t>15,325</w:t>
            </w:r>
          </w:p>
        </w:tc>
        <w:tc>
          <w:tcPr>
            <w:tcW w:w="3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18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743"/>
              <w:spacing w:after="0" w:line="162" w:lineRule="exact"/>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260" w:type="dxa"/>
            <w:vAlign w:val="bottom"/>
          </w:tcPr>
          <w:p>
            <w:pPr>
              <w:ind w:left="180"/>
              <w:spacing w:after="0" w:line="162" w:lineRule="exact"/>
              <w:rPr>
                <w:sz w:val="20"/>
                <w:szCs w:val="20"/>
                <w:color w:val="auto"/>
              </w:rPr>
            </w:pPr>
            <w:r>
              <w:rPr>
                <w:rFonts w:ascii="Arial" w:cs="Arial" w:eastAsia="Arial" w:hAnsi="Arial"/>
                <w:sz w:val="15"/>
                <w:szCs w:val="15"/>
                <w:color w:val="auto"/>
              </w:rPr>
              <w:t>Certificates of deposit</w:t>
            </w:r>
          </w:p>
        </w:tc>
        <w:tc>
          <w:tcPr>
            <w:tcW w:w="300" w:type="dxa"/>
            <w:vAlign w:val="bottom"/>
          </w:tcPr>
          <w:p>
            <w:pPr>
              <w:spacing w:after="0"/>
              <w:rPr>
                <w:sz w:val="14"/>
                <w:szCs w:val="14"/>
                <w:color w:val="auto"/>
              </w:rPr>
            </w:pPr>
          </w:p>
        </w:tc>
        <w:tc>
          <w:tcPr>
            <w:tcW w:w="900" w:type="dxa"/>
            <w:vAlign w:val="bottom"/>
          </w:tcPr>
          <w:p>
            <w:pPr>
              <w:jc w:val="right"/>
              <w:ind w:right="83"/>
              <w:spacing w:after="0" w:line="162" w:lineRule="exact"/>
              <w:rPr>
                <w:sz w:val="20"/>
                <w:szCs w:val="20"/>
                <w:color w:val="auto"/>
              </w:rPr>
            </w:pPr>
            <w:r>
              <w:rPr>
                <w:rFonts w:ascii="Arial" w:cs="Arial" w:eastAsia="Arial" w:hAnsi="Arial"/>
                <w:sz w:val="15"/>
                <w:szCs w:val="15"/>
                <w:color w:val="auto"/>
              </w:rPr>
              <w:t>38,087</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1120" w:type="dxa"/>
            <w:vAlign w:val="bottom"/>
            <w:gridSpan w:val="2"/>
          </w:tcPr>
          <w:p>
            <w:pPr>
              <w:jc w:val="right"/>
              <w:ind w:right="320"/>
              <w:spacing w:after="0" w:line="162"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4"/>
                <w:szCs w:val="14"/>
                <w:color w:val="auto"/>
              </w:rPr>
            </w:pPr>
          </w:p>
        </w:tc>
        <w:tc>
          <w:tcPr>
            <w:tcW w:w="880" w:type="dxa"/>
            <w:vAlign w:val="bottom"/>
          </w:tcPr>
          <w:p>
            <w:pPr>
              <w:jc w:val="right"/>
              <w:ind w:right="63"/>
              <w:spacing w:after="0" w:line="162" w:lineRule="exact"/>
              <w:rPr>
                <w:sz w:val="20"/>
                <w:szCs w:val="20"/>
                <w:color w:val="auto"/>
              </w:rPr>
            </w:pPr>
            <w:r>
              <w:rPr>
                <w:rFonts w:ascii="Arial" w:cs="Arial" w:eastAsia="Arial" w:hAnsi="Arial"/>
                <w:sz w:val="15"/>
                <w:szCs w:val="15"/>
                <w:color w:val="auto"/>
              </w:rPr>
              <w:t>38,087</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right"/>
              <w:ind w:right="300"/>
              <w:spacing w:after="0" w:line="162" w:lineRule="exact"/>
              <w:rPr>
                <w:sz w:val="20"/>
                <w:szCs w:val="20"/>
                <w:color w:val="auto"/>
              </w:rPr>
            </w:pPr>
            <w:r>
              <w:rPr>
                <w:rFonts w:ascii="Arial" w:cs="Arial" w:eastAsia="Arial" w:hAnsi="Arial"/>
                <w:sz w:val="15"/>
                <w:szCs w:val="15"/>
                <w:color w:val="auto"/>
              </w:rPr>
              <w:t>–</w:t>
            </w:r>
          </w:p>
        </w:tc>
        <w:tc>
          <w:tcPr>
            <w:tcW w:w="1040" w:type="dxa"/>
            <w:vAlign w:val="bottom"/>
          </w:tcPr>
          <w:p>
            <w:pPr>
              <w:spacing w:after="0"/>
              <w:rPr>
                <w:sz w:val="14"/>
                <w:szCs w:val="14"/>
                <w:color w:val="auto"/>
              </w:rPr>
            </w:pPr>
          </w:p>
        </w:tc>
        <w:tc>
          <w:tcPr>
            <w:tcW w:w="300" w:type="dxa"/>
            <w:vAlign w:val="bottom"/>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26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Municipal securities</w:t>
            </w:r>
          </w:p>
        </w:tc>
        <w:tc>
          <w:tcPr>
            <w:tcW w:w="3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83"/>
              <w:spacing w:after="0" w:line="162" w:lineRule="exact"/>
              <w:rPr>
                <w:sz w:val="20"/>
                <w:szCs w:val="20"/>
                <w:color w:val="auto"/>
              </w:rPr>
            </w:pPr>
            <w:r>
              <w:rPr>
                <w:rFonts w:ascii="Arial" w:cs="Arial" w:eastAsia="Arial" w:hAnsi="Arial"/>
                <w:sz w:val="15"/>
                <w:szCs w:val="15"/>
                <w:color w:val="auto"/>
              </w:rPr>
              <w:t>343,100</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63"/>
              <w:spacing w:after="0" w:line="162" w:lineRule="exact"/>
              <w:rPr>
                <w:sz w:val="20"/>
                <w:szCs w:val="20"/>
                <w:color w:val="auto"/>
              </w:rPr>
            </w:pPr>
            <w:r>
              <w:rPr>
                <w:rFonts w:ascii="Arial" w:cs="Arial" w:eastAsia="Arial" w:hAnsi="Arial"/>
                <w:sz w:val="15"/>
                <w:szCs w:val="15"/>
                <w:color w:val="auto"/>
              </w:rPr>
              <w:t>124</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63"/>
              <w:spacing w:after="0" w:line="162" w:lineRule="exact"/>
              <w:rPr>
                <w:sz w:val="20"/>
                <w:szCs w:val="20"/>
                <w:color w:val="auto"/>
              </w:rPr>
            </w:pPr>
            <w:r>
              <w:rPr>
                <w:rFonts w:ascii="Arial" w:cs="Arial" w:eastAsia="Arial" w:hAnsi="Arial"/>
                <w:sz w:val="15"/>
                <w:szCs w:val="15"/>
                <w:color w:val="auto"/>
              </w:rPr>
              <w:t>342,976</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63"/>
              <w:spacing w:after="0" w:line="162" w:lineRule="exact"/>
              <w:rPr>
                <w:sz w:val="20"/>
                <w:szCs w:val="20"/>
                <w:color w:val="auto"/>
              </w:rPr>
            </w:pPr>
            <w:r>
              <w:rPr>
                <w:rFonts w:ascii="Arial" w:cs="Arial" w:eastAsia="Arial" w:hAnsi="Arial"/>
                <w:sz w:val="15"/>
                <w:szCs w:val="15"/>
                <w:color w:val="auto"/>
              </w:rPr>
              <w:t>124</w:t>
            </w: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260" w:type="dxa"/>
            <w:vAlign w:val="bottom"/>
          </w:tcPr>
          <w:p>
            <w:pPr>
              <w:ind w:left="180"/>
              <w:spacing w:after="0" w:line="162" w:lineRule="exact"/>
              <w:rPr>
                <w:sz w:val="20"/>
                <w:szCs w:val="20"/>
                <w:color w:val="auto"/>
              </w:rPr>
            </w:pPr>
            <w:r>
              <w:rPr>
                <w:rFonts w:ascii="Arial" w:cs="Arial" w:eastAsia="Arial" w:hAnsi="Arial"/>
                <w:sz w:val="15"/>
                <w:szCs w:val="15"/>
                <w:color w:val="auto"/>
              </w:rPr>
              <w:t>U.S. government agency securities</w:t>
            </w:r>
          </w:p>
        </w:tc>
        <w:tc>
          <w:tcPr>
            <w:tcW w:w="300" w:type="dxa"/>
            <w:vAlign w:val="bottom"/>
          </w:tcPr>
          <w:p>
            <w:pPr>
              <w:spacing w:after="0"/>
              <w:rPr>
                <w:sz w:val="14"/>
                <w:szCs w:val="14"/>
                <w:color w:val="auto"/>
              </w:rPr>
            </w:pPr>
          </w:p>
        </w:tc>
        <w:tc>
          <w:tcPr>
            <w:tcW w:w="900" w:type="dxa"/>
            <w:vAlign w:val="bottom"/>
          </w:tcPr>
          <w:p>
            <w:pPr>
              <w:jc w:val="right"/>
              <w:ind w:right="83"/>
              <w:spacing w:after="0" w:line="162" w:lineRule="exact"/>
              <w:rPr>
                <w:sz w:val="20"/>
                <w:szCs w:val="20"/>
                <w:color w:val="auto"/>
              </w:rPr>
            </w:pPr>
            <w:r>
              <w:rPr>
                <w:rFonts w:ascii="Arial" w:cs="Arial" w:eastAsia="Arial" w:hAnsi="Arial"/>
                <w:sz w:val="15"/>
                <w:szCs w:val="15"/>
                <w:color w:val="auto"/>
              </w:rPr>
              <w:t>23,992</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1120" w:type="dxa"/>
            <w:vAlign w:val="bottom"/>
            <w:gridSpan w:val="2"/>
          </w:tcPr>
          <w:p>
            <w:pPr>
              <w:jc w:val="right"/>
              <w:ind w:right="320"/>
              <w:spacing w:after="0" w:line="162"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4"/>
                <w:szCs w:val="14"/>
                <w:color w:val="auto"/>
              </w:rPr>
            </w:pPr>
          </w:p>
        </w:tc>
        <w:tc>
          <w:tcPr>
            <w:tcW w:w="880" w:type="dxa"/>
            <w:vAlign w:val="bottom"/>
          </w:tcPr>
          <w:p>
            <w:pPr>
              <w:jc w:val="right"/>
              <w:ind w:right="63"/>
              <w:spacing w:after="0" w:line="162" w:lineRule="exact"/>
              <w:rPr>
                <w:sz w:val="20"/>
                <w:szCs w:val="20"/>
                <w:color w:val="auto"/>
              </w:rPr>
            </w:pPr>
            <w:r>
              <w:rPr>
                <w:rFonts w:ascii="Arial" w:cs="Arial" w:eastAsia="Arial" w:hAnsi="Arial"/>
                <w:sz w:val="15"/>
                <w:szCs w:val="15"/>
                <w:color w:val="auto"/>
              </w:rPr>
              <w:t>23,992</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right"/>
              <w:ind w:right="300"/>
              <w:spacing w:after="0" w:line="162" w:lineRule="exact"/>
              <w:rPr>
                <w:sz w:val="20"/>
                <w:szCs w:val="20"/>
                <w:color w:val="auto"/>
              </w:rPr>
            </w:pPr>
            <w:r>
              <w:rPr>
                <w:rFonts w:ascii="Arial" w:cs="Arial" w:eastAsia="Arial" w:hAnsi="Arial"/>
                <w:sz w:val="15"/>
                <w:szCs w:val="15"/>
                <w:color w:val="auto"/>
              </w:rPr>
              <w:t>–</w:t>
            </w:r>
          </w:p>
        </w:tc>
        <w:tc>
          <w:tcPr>
            <w:tcW w:w="1040" w:type="dxa"/>
            <w:vAlign w:val="bottom"/>
          </w:tcPr>
          <w:p>
            <w:pPr>
              <w:spacing w:after="0"/>
              <w:rPr>
                <w:sz w:val="14"/>
                <w:szCs w:val="14"/>
                <w:color w:val="auto"/>
              </w:rPr>
            </w:pPr>
          </w:p>
        </w:tc>
        <w:tc>
          <w:tcPr>
            <w:tcW w:w="300" w:type="dxa"/>
            <w:vAlign w:val="bottom"/>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26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Available-for-sale</w:t>
            </w:r>
          </w:p>
        </w:tc>
        <w:tc>
          <w:tcPr>
            <w:tcW w:w="3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tcPr>
          <w:p>
            <w:pPr>
              <w:spacing w:after="0" w:line="162" w:lineRule="exact"/>
              <w:rPr>
                <w:sz w:val="20"/>
                <w:szCs w:val="20"/>
                <w:color w:val="auto"/>
              </w:rPr>
            </w:pPr>
            <w:r>
              <w:rPr>
                <w:rFonts w:ascii="Arial" w:cs="Arial" w:eastAsia="Arial" w:hAnsi="Arial"/>
                <w:sz w:val="15"/>
                <w:szCs w:val="15"/>
                <w:color w:val="auto"/>
              </w:rPr>
              <w:t>Short-term:</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Variable rate demand notes</w:t>
            </w:r>
          </w:p>
        </w:tc>
        <w:tc>
          <w:tcPr>
            <w:tcW w:w="3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83"/>
              <w:spacing w:after="0" w:line="162" w:lineRule="exact"/>
              <w:rPr>
                <w:sz w:val="20"/>
                <w:szCs w:val="20"/>
                <w:color w:val="auto"/>
              </w:rPr>
            </w:pPr>
            <w:r>
              <w:rPr>
                <w:rFonts w:ascii="Arial" w:cs="Arial" w:eastAsia="Arial" w:hAnsi="Arial"/>
                <w:sz w:val="15"/>
                <w:szCs w:val="15"/>
                <w:color w:val="auto"/>
              </w:rPr>
              <w:t>30,559</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63"/>
              <w:spacing w:after="0" w:line="162" w:lineRule="exact"/>
              <w:rPr>
                <w:sz w:val="20"/>
                <w:szCs w:val="20"/>
                <w:color w:val="auto"/>
              </w:rPr>
            </w:pPr>
            <w:r>
              <w:rPr>
                <w:rFonts w:ascii="Arial" w:cs="Arial" w:eastAsia="Arial" w:hAnsi="Arial"/>
                <w:sz w:val="15"/>
                <w:szCs w:val="15"/>
                <w:color w:val="auto"/>
              </w:rPr>
              <w:t>30,559</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260" w:type="dxa"/>
            <w:vAlign w:val="bottom"/>
          </w:tcPr>
          <w:p>
            <w:pPr>
              <w:spacing w:after="0" w:line="162" w:lineRule="exact"/>
              <w:rPr>
                <w:sz w:val="20"/>
                <w:szCs w:val="20"/>
                <w:color w:val="auto"/>
              </w:rPr>
            </w:pPr>
            <w:r>
              <w:rPr>
                <w:rFonts w:ascii="Arial" w:cs="Arial" w:eastAsia="Arial" w:hAnsi="Arial"/>
                <w:sz w:val="15"/>
                <w:szCs w:val="15"/>
                <w:color w:val="auto"/>
              </w:rPr>
              <w:t>Long-term:</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Auction rate securities</w:t>
            </w:r>
          </w:p>
        </w:tc>
        <w:tc>
          <w:tcPr>
            <w:tcW w:w="3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83"/>
              <w:spacing w:after="0" w:line="162" w:lineRule="exact"/>
              <w:rPr>
                <w:sz w:val="20"/>
                <w:szCs w:val="20"/>
                <w:color w:val="auto"/>
              </w:rPr>
            </w:pPr>
            <w:r>
              <w:rPr>
                <w:rFonts w:ascii="Arial" w:cs="Arial" w:eastAsia="Arial" w:hAnsi="Arial"/>
                <w:sz w:val="15"/>
                <w:szCs w:val="15"/>
                <w:color w:val="auto"/>
              </w:rPr>
              <w:t>3,310</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63"/>
              <w:spacing w:after="0" w:line="162" w:lineRule="exact"/>
              <w:rPr>
                <w:sz w:val="20"/>
                <w:szCs w:val="20"/>
                <w:color w:val="auto"/>
              </w:rPr>
            </w:pPr>
            <w:r>
              <w:rPr>
                <w:rFonts w:ascii="Arial" w:cs="Arial" w:eastAsia="Arial" w:hAnsi="Arial"/>
                <w:sz w:val="15"/>
                <w:szCs w:val="15"/>
                <w:color w:val="auto"/>
              </w:rPr>
              <w:t>3,310</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3260" w:type="dxa"/>
            <w:vAlign w:val="bottom"/>
            <w:tcBorders>
              <w:bottom w:val="single" w:sz="8" w:color="CCEEFF"/>
            </w:tcBorders>
          </w:tcPr>
          <w:p>
            <w:pPr>
              <w:ind w:left="360"/>
              <w:spacing w:after="0" w:line="156" w:lineRule="exact"/>
              <w:rPr>
                <w:sz w:val="20"/>
                <w:szCs w:val="20"/>
                <w:color w:val="auto"/>
              </w:rPr>
            </w:pPr>
            <w:r>
              <w:rPr>
                <w:rFonts w:ascii="Arial" w:cs="Arial" w:eastAsia="Arial" w:hAnsi="Arial"/>
                <w:sz w:val="15"/>
                <w:szCs w:val="15"/>
                <w:color w:val="auto"/>
              </w:rPr>
              <w:t>Total</w:t>
            </w:r>
          </w:p>
        </w:tc>
        <w:tc>
          <w:tcPr>
            <w:tcW w:w="300" w:type="dxa"/>
            <w:vAlign w:val="bottom"/>
            <w:tcBorders>
              <w:top w:val="single" w:sz="8" w:color="auto"/>
              <w:bottom w:val="single" w:sz="8" w:color="auto"/>
            </w:tcBorders>
          </w:tcPr>
          <w:p>
            <w:pPr>
              <w:jc w:val="right"/>
              <w:ind w:right="3"/>
              <w:spacing w:after="0" w:line="156" w:lineRule="exact"/>
              <w:rPr>
                <w:sz w:val="20"/>
                <w:szCs w:val="20"/>
                <w:color w:val="auto"/>
              </w:rPr>
            </w:pPr>
            <w:r>
              <w:rPr>
                <w:rFonts w:ascii="Arial" w:cs="Arial" w:eastAsia="Arial" w:hAnsi="Arial"/>
                <w:sz w:val="15"/>
                <w:szCs w:val="15"/>
                <w:color w:val="auto"/>
              </w:rPr>
              <w:t>$</w:t>
            </w:r>
          </w:p>
        </w:tc>
        <w:tc>
          <w:tcPr>
            <w:tcW w:w="900" w:type="dxa"/>
            <w:vAlign w:val="bottom"/>
            <w:tcBorders>
              <w:top w:val="single" w:sz="8" w:color="auto"/>
              <w:bottom w:val="single" w:sz="8" w:color="auto"/>
            </w:tcBorders>
          </w:tcPr>
          <w:p>
            <w:pPr>
              <w:jc w:val="right"/>
              <w:ind w:right="83"/>
              <w:spacing w:after="0" w:line="156" w:lineRule="exact"/>
              <w:rPr>
                <w:sz w:val="20"/>
                <w:szCs w:val="20"/>
                <w:color w:val="auto"/>
              </w:rPr>
            </w:pPr>
            <w:r>
              <w:rPr>
                <w:rFonts w:ascii="Arial" w:cs="Arial" w:eastAsia="Arial" w:hAnsi="Arial"/>
                <w:sz w:val="15"/>
                <w:szCs w:val="15"/>
                <w:color w:val="auto"/>
              </w:rPr>
              <w:t>454,373</w:t>
            </w:r>
          </w:p>
        </w:tc>
        <w:tc>
          <w:tcPr>
            <w:tcW w:w="16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563"/>
              <w:spacing w:after="0" w:line="156" w:lineRule="exact"/>
              <w:rPr>
                <w:sz w:val="20"/>
                <w:szCs w:val="20"/>
                <w:color w:val="auto"/>
              </w:rPr>
            </w:pPr>
            <w:r>
              <w:rPr>
                <w:rFonts w:ascii="Arial" w:cs="Arial" w:eastAsia="Arial" w:hAnsi="Arial"/>
                <w:sz w:val="15"/>
                <w:szCs w:val="15"/>
                <w:color w:val="auto"/>
              </w:rPr>
              <w:t>$</w:t>
            </w:r>
          </w:p>
        </w:tc>
        <w:tc>
          <w:tcPr>
            <w:tcW w:w="320" w:type="dxa"/>
            <w:vAlign w:val="bottom"/>
            <w:tcBorders>
              <w:top w:val="single" w:sz="8" w:color="auto"/>
              <w:bottom w:val="single" w:sz="8" w:color="auto"/>
            </w:tcBorders>
          </w:tcPr>
          <w:p>
            <w:pPr>
              <w:jc w:val="right"/>
              <w:ind w:right="143"/>
              <w:spacing w:after="0" w:line="156" w:lineRule="exact"/>
              <w:rPr>
                <w:sz w:val="20"/>
                <w:szCs w:val="20"/>
                <w:color w:val="auto"/>
              </w:rPr>
            </w:pPr>
            <w:r>
              <w:rPr>
                <w:rFonts w:ascii="Arial" w:cs="Arial" w:eastAsia="Arial" w:hAnsi="Arial"/>
                <w:sz w:val="15"/>
                <w:szCs w:val="15"/>
                <w:color w:val="auto"/>
                <w:w w:val="95"/>
              </w:rPr>
              <w:t>–</w:t>
            </w:r>
          </w:p>
        </w:tc>
        <w:tc>
          <w:tcPr>
            <w:tcW w:w="18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940" w:type="dxa"/>
            <w:vAlign w:val="bottom"/>
            <w:tcBorders>
              <w:top w:val="single" w:sz="8" w:color="auto"/>
              <w:bottom w:val="single" w:sz="8" w:color="auto"/>
            </w:tcBorders>
          </w:tcPr>
          <w:p>
            <w:pPr>
              <w:jc w:val="right"/>
              <w:ind w:right="63"/>
              <w:spacing w:after="0" w:line="156" w:lineRule="exact"/>
              <w:rPr>
                <w:sz w:val="20"/>
                <w:szCs w:val="20"/>
                <w:color w:val="auto"/>
              </w:rPr>
            </w:pPr>
            <w:r>
              <w:rPr>
                <w:rFonts w:ascii="Arial" w:cs="Arial" w:eastAsia="Arial" w:hAnsi="Arial"/>
                <w:sz w:val="15"/>
                <w:szCs w:val="15"/>
                <w:color w:val="auto"/>
              </w:rPr>
              <w:t>124</w:t>
            </w:r>
          </w:p>
        </w:tc>
        <w:tc>
          <w:tcPr>
            <w:tcW w:w="18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CCEEFF"/>
            </w:tcBorders>
          </w:tcPr>
          <w:p>
            <w:pPr>
              <w:spacing w:after="0"/>
              <w:rPr>
                <w:sz w:val="17"/>
                <w:szCs w:val="17"/>
                <w:color w:val="auto"/>
              </w:rPr>
            </w:pPr>
          </w:p>
        </w:tc>
        <w:tc>
          <w:tcPr>
            <w:tcW w:w="880" w:type="dxa"/>
            <w:vAlign w:val="bottom"/>
            <w:tcBorders>
              <w:top w:val="single" w:sz="8" w:color="auto"/>
              <w:bottom w:val="single" w:sz="8" w:color="CCEEFF"/>
            </w:tcBorders>
          </w:tcPr>
          <w:p>
            <w:pPr>
              <w:jc w:val="right"/>
              <w:ind w:right="63"/>
              <w:spacing w:after="0" w:line="156" w:lineRule="exact"/>
              <w:rPr>
                <w:sz w:val="20"/>
                <w:szCs w:val="20"/>
                <w:color w:val="auto"/>
              </w:rPr>
            </w:pPr>
            <w:r>
              <w:rPr>
                <w:rFonts w:ascii="Arial" w:cs="Arial" w:eastAsia="Arial" w:hAnsi="Arial"/>
                <w:sz w:val="15"/>
                <w:szCs w:val="15"/>
                <w:color w:val="auto"/>
              </w:rPr>
              <w:t>454,249</w:t>
            </w:r>
          </w:p>
        </w:tc>
        <w:tc>
          <w:tcPr>
            <w:tcW w:w="16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1020" w:type="dxa"/>
            <w:vAlign w:val="bottom"/>
            <w:tcBorders>
              <w:top w:val="single" w:sz="8" w:color="auto"/>
              <w:bottom w:val="single" w:sz="8" w:color="auto"/>
            </w:tcBorders>
          </w:tcPr>
          <w:p>
            <w:pPr>
              <w:jc w:val="right"/>
              <w:ind w:right="63"/>
              <w:spacing w:after="0" w:line="156" w:lineRule="exact"/>
              <w:rPr>
                <w:sz w:val="20"/>
                <w:szCs w:val="20"/>
                <w:color w:val="auto"/>
              </w:rPr>
            </w:pPr>
            <w:r>
              <w:rPr>
                <w:rFonts w:ascii="Arial" w:cs="Arial" w:eastAsia="Arial" w:hAnsi="Arial"/>
                <w:sz w:val="15"/>
                <w:szCs w:val="15"/>
                <w:color w:val="auto"/>
              </w:rPr>
              <w:t>124</w:t>
            </w:r>
          </w:p>
        </w:tc>
        <w:tc>
          <w:tcPr>
            <w:tcW w:w="160" w:type="dxa"/>
            <w:vAlign w:val="bottom"/>
            <w:tcBorders>
              <w:bottom w:val="single" w:sz="8" w:color="CCEEFF"/>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743"/>
              <w:spacing w:after="0" w:line="156" w:lineRule="exact"/>
              <w:rPr>
                <w:sz w:val="20"/>
                <w:szCs w:val="20"/>
                <w:color w:val="auto"/>
              </w:rPr>
            </w:pPr>
            <w:r>
              <w:rPr>
                <w:rFonts w:ascii="Arial" w:cs="Arial" w:eastAsia="Arial" w:hAnsi="Arial"/>
                <w:sz w:val="15"/>
                <w:szCs w:val="15"/>
                <w:color w:val="auto"/>
              </w:rPr>
              <w:t>$</w:t>
            </w:r>
          </w:p>
        </w:tc>
        <w:tc>
          <w:tcPr>
            <w:tcW w:w="300" w:type="dxa"/>
            <w:vAlign w:val="bottom"/>
            <w:tcBorders>
              <w:top w:val="single" w:sz="8" w:color="auto"/>
              <w:bottom w:val="single" w:sz="8" w:color="auto"/>
            </w:tcBorders>
          </w:tcPr>
          <w:p>
            <w:pPr>
              <w:jc w:val="right"/>
              <w:ind w:right="43"/>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16"/>
        </w:trPr>
        <w:tc>
          <w:tcPr>
            <w:tcW w:w="3260" w:type="dxa"/>
            <w:vAlign w:val="bottom"/>
            <w:shd w:val="clear" w:color="auto" w:fill="CCEEFF"/>
          </w:tcPr>
          <w:p>
            <w:pPr>
              <w:spacing w:after="0" w:line="116" w:lineRule="exact"/>
              <w:rPr>
                <w:sz w:val="20"/>
                <w:szCs w:val="20"/>
                <w:color w:val="auto"/>
              </w:rPr>
            </w:pPr>
            <w:r>
              <w:rPr>
                <w:rFonts w:ascii="Arial" w:cs="Arial" w:eastAsia="Arial" w:hAnsi="Arial"/>
                <w:sz w:val="13"/>
                <w:szCs w:val="13"/>
                <w:b w:val="1"/>
                <w:bCs w:val="1"/>
                <w:color w:val="auto"/>
              </w:rPr>
              <w:t>Trading</w:t>
            </w:r>
          </w:p>
        </w:tc>
        <w:tc>
          <w:tcPr>
            <w:tcW w:w="3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260" w:type="dxa"/>
            <w:vAlign w:val="bottom"/>
          </w:tcPr>
          <w:p>
            <w:pPr>
              <w:spacing w:after="0" w:line="162" w:lineRule="exact"/>
              <w:rPr>
                <w:sz w:val="20"/>
                <w:szCs w:val="20"/>
                <w:color w:val="auto"/>
              </w:rPr>
            </w:pPr>
            <w:r>
              <w:rPr>
                <w:rFonts w:ascii="Arial" w:cs="Arial" w:eastAsia="Arial" w:hAnsi="Arial"/>
                <w:sz w:val="15"/>
                <w:szCs w:val="15"/>
                <w:color w:val="auto"/>
              </w:rPr>
              <w:t>Short-term:</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Auction rate securities</w:t>
            </w:r>
          </w:p>
        </w:tc>
        <w:tc>
          <w:tcPr>
            <w:tcW w:w="3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tcPr>
          <w:p>
            <w:pPr>
              <w:spacing w:after="0" w:line="162" w:lineRule="exact"/>
              <w:rPr>
                <w:sz w:val="20"/>
                <w:szCs w:val="20"/>
                <w:color w:val="auto"/>
              </w:rPr>
            </w:pPr>
            <w:r>
              <w:rPr>
                <w:rFonts w:ascii="Arial" w:cs="Arial" w:eastAsia="Arial" w:hAnsi="Arial"/>
                <w:sz w:val="15"/>
                <w:szCs w:val="15"/>
                <w:color w:val="auto"/>
              </w:rPr>
              <w:t>Long-term:</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Auction rate securities</w:t>
            </w:r>
          </w:p>
        </w:tc>
        <w:tc>
          <w:tcPr>
            <w:tcW w:w="3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63"/>
              <w:spacing w:after="0" w:line="162" w:lineRule="exact"/>
              <w:rPr>
                <w:sz w:val="20"/>
                <w:szCs w:val="20"/>
                <w:color w:val="auto"/>
              </w:rPr>
            </w:pPr>
            <w:r>
              <w:rPr>
                <w:rFonts w:ascii="Arial" w:cs="Arial" w:eastAsia="Arial" w:hAnsi="Arial"/>
                <w:sz w:val="15"/>
                <w:szCs w:val="15"/>
                <w:color w:val="auto"/>
              </w:rPr>
              <w:t>17,563</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260" w:type="dxa"/>
            <w:vAlign w:val="bottom"/>
          </w:tcPr>
          <w:p>
            <w:pPr>
              <w:ind w:left="380"/>
              <w:spacing w:after="0" w:line="156" w:lineRule="exact"/>
              <w:rPr>
                <w:sz w:val="20"/>
                <w:szCs w:val="20"/>
                <w:color w:val="auto"/>
              </w:rPr>
            </w:pPr>
            <w:r>
              <w:rPr>
                <w:rFonts w:ascii="Arial" w:cs="Arial" w:eastAsia="Arial" w:hAnsi="Arial"/>
                <w:sz w:val="15"/>
                <w:szCs w:val="15"/>
                <w:color w:val="auto"/>
              </w:rPr>
              <w:t>Total</w:t>
            </w: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ind w:right="63"/>
              <w:spacing w:after="0" w:line="156" w:lineRule="exact"/>
              <w:rPr>
                <w:sz w:val="20"/>
                <w:szCs w:val="20"/>
                <w:color w:val="auto"/>
              </w:rPr>
            </w:pPr>
            <w:r>
              <w:rPr>
                <w:rFonts w:ascii="Arial" w:cs="Arial" w:eastAsia="Arial" w:hAnsi="Arial"/>
                <w:sz w:val="15"/>
                <w:szCs w:val="15"/>
                <w:color w:val="auto"/>
              </w:rPr>
              <w:t>471,812</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gridSpan w:val="3"/>
            <w:vMerge w:val="restart"/>
          </w:tcPr>
          <w:p>
            <w:pPr>
              <w:jc w:val="center"/>
              <w:ind w:right="300"/>
              <w:spacing w:after="0"/>
              <w:rPr>
                <w:sz w:val="20"/>
                <w:szCs w:val="20"/>
                <w:color w:val="auto"/>
              </w:rPr>
            </w:pPr>
            <w:r>
              <w:rPr>
                <w:rFonts w:ascii="Arial" w:cs="Arial" w:eastAsia="Arial" w:hAnsi="Arial"/>
                <w:sz w:val="15"/>
                <w:szCs w:val="15"/>
                <w:color w:val="auto"/>
                <w:w w:val="92"/>
              </w:rPr>
              <w:t>Continuous</w:t>
            </w:r>
          </w:p>
        </w:tc>
        <w:tc>
          <w:tcPr>
            <w:tcW w:w="1040" w:type="dxa"/>
            <w:vAlign w:val="bottom"/>
            <w:vMerge w:val="restart"/>
          </w:tcPr>
          <w:p>
            <w:pPr>
              <w:jc w:val="center"/>
              <w:ind w:left="103"/>
              <w:spacing w:after="0"/>
              <w:rPr>
                <w:sz w:val="20"/>
                <w:szCs w:val="20"/>
                <w:color w:val="auto"/>
              </w:rPr>
            </w:pPr>
            <w:r>
              <w:rPr>
                <w:rFonts w:ascii="Arial" w:cs="Arial" w:eastAsia="Arial" w:hAnsi="Arial"/>
                <w:sz w:val="15"/>
                <w:szCs w:val="15"/>
                <w:color w:val="auto"/>
                <w:w w:val="92"/>
              </w:rPr>
              <w:t>Continuous</w:t>
            </w: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3"/>
            <w:vMerge w:val="continue"/>
          </w:tcPr>
          <w:p>
            <w:pPr>
              <w:spacing w:after="0"/>
              <w:rPr>
                <w:sz w:val="24"/>
                <w:szCs w:val="24"/>
                <w:color w:val="auto"/>
              </w:rPr>
            </w:pPr>
          </w:p>
        </w:tc>
        <w:tc>
          <w:tcPr>
            <w:tcW w:w="10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left="83"/>
              <w:spacing w:after="0" w:line="162" w:lineRule="exact"/>
              <w:rPr>
                <w:sz w:val="20"/>
                <w:szCs w:val="20"/>
                <w:color w:val="auto"/>
              </w:rPr>
            </w:pPr>
            <w:r>
              <w:rPr>
                <w:rFonts w:ascii="Arial" w:cs="Arial" w:eastAsia="Arial" w:hAnsi="Arial"/>
                <w:sz w:val="15"/>
                <w:szCs w:val="15"/>
                <w:color w:val="auto"/>
                <w:w w:val="89"/>
              </w:rPr>
              <w:t>Gross</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center"/>
              <w:ind w:right="580"/>
              <w:spacing w:after="0" w:line="162" w:lineRule="exact"/>
              <w:rPr>
                <w:sz w:val="20"/>
                <w:szCs w:val="20"/>
                <w:color w:val="auto"/>
              </w:rPr>
            </w:pPr>
            <w:r>
              <w:rPr>
                <w:rFonts w:ascii="Arial" w:cs="Arial" w:eastAsia="Arial" w:hAnsi="Arial"/>
                <w:sz w:val="15"/>
                <w:szCs w:val="15"/>
                <w:color w:val="auto"/>
                <w:w w:val="84"/>
              </w:rPr>
              <w:t>Gross</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520"/>
              <w:spacing w:after="0" w:line="162" w:lineRule="exact"/>
              <w:rPr>
                <w:sz w:val="20"/>
                <w:szCs w:val="20"/>
                <w:color w:val="auto"/>
              </w:rPr>
            </w:pPr>
            <w:r>
              <w:rPr>
                <w:rFonts w:ascii="Arial" w:cs="Arial" w:eastAsia="Arial" w:hAnsi="Arial"/>
                <w:sz w:val="15"/>
                <w:szCs w:val="15"/>
                <w:color w:val="auto"/>
                <w:w w:val="91"/>
              </w:rPr>
              <w:t>Unrealized</w:t>
            </w:r>
          </w:p>
        </w:tc>
        <w:tc>
          <w:tcPr>
            <w:tcW w:w="1040" w:type="dxa"/>
            <w:vAlign w:val="bottom"/>
          </w:tcPr>
          <w:p>
            <w:pPr>
              <w:jc w:val="center"/>
              <w:ind w:left="103"/>
              <w:spacing w:after="0" w:line="162" w:lineRule="exact"/>
              <w:rPr>
                <w:sz w:val="20"/>
                <w:szCs w:val="20"/>
                <w:color w:val="auto"/>
              </w:rPr>
            </w:pPr>
            <w:r>
              <w:rPr>
                <w:rFonts w:ascii="Arial" w:cs="Arial" w:eastAsia="Arial" w:hAnsi="Arial"/>
                <w:sz w:val="15"/>
                <w:szCs w:val="15"/>
                <w:color w:val="auto"/>
                <w:w w:val="91"/>
              </w:rPr>
              <w:t>Unrealized</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left="103"/>
              <w:spacing w:after="0" w:line="162" w:lineRule="exact"/>
              <w:rPr>
                <w:sz w:val="20"/>
                <w:szCs w:val="20"/>
                <w:color w:val="auto"/>
              </w:rPr>
            </w:pPr>
            <w:r>
              <w:rPr>
                <w:rFonts w:ascii="Arial" w:cs="Arial" w:eastAsia="Arial" w:hAnsi="Arial"/>
                <w:sz w:val="15"/>
                <w:szCs w:val="15"/>
                <w:color w:val="auto"/>
                <w:w w:val="91"/>
              </w:rPr>
              <w:t>Unrealized</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3"/>
          </w:tcPr>
          <w:p>
            <w:pPr>
              <w:jc w:val="center"/>
              <w:ind w:right="340"/>
              <w:spacing w:after="0" w:line="162" w:lineRule="exact"/>
              <w:rPr>
                <w:sz w:val="20"/>
                <w:szCs w:val="20"/>
                <w:color w:val="auto"/>
              </w:rPr>
            </w:pPr>
            <w:r>
              <w:rPr>
                <w:rFonts w:ascii="Arial" w:cs="Arial" w:eastAsia="Arial" w:hAnsi="Arial"/>
                <w:sz w:val="15"/>
                <w:szCs w:val="15"/>
                <w:color w:val="auto"/>
                <w:w w:val="91"/>
              </w:rPr>
              <w:t>Unrealized</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3"/>
          </w:tcPr>
          <w:p>
            <w:pPr>
              <w:jc w:val="center"/>
              <w:ind w:right="300"/>
              <w:spacing w:after="0" w:line="162" w:lineRule="exact"/>
              <w:rPr>
                <w:sz w:val="20"/>
                <w:szCs w:val="20"/>
                <w:color w:val="auto"/>
              </w:rPr>
            </w:pPr>
            <w:r>
              <w:rPr>
                <w:rFonts w:ascii="Arial" w:cs="Arial" w:eastAsia="Arial" w:hAnsi="Arial"/>
                <w:sz w:val="15"/>
                <w:szCs w:val="15"/>
                <w:color w:val="auto"/>
                <w:w w:val="91"/>
              </w:rPr>
              <w:t>Loss Position</w:t>
            </w:r>
          </w:p>
        </w:tc>
        <w:tc>
          <w:tcPr>
            <w:tcW w:w="1040" w:type="dxa"/>
            <w:vAlign w:val="bottom"/>
          </w:tcPr>
          <w:p>
            <w:pPr>
              <w:jc w:val="center"/>
              <w:ind w:left="103"/>
              <w:spacing w:after="0" w:line="162" w:lineRule="exact"/>
              <w:rPr>
                <w:sz w:val="20"/>
                <w:szCs w:val="20"/>
                <w:color w:val="auto"/>
              </w:rPr>
            </w:pPr>
            <w:r>
              <w:rPr>
                <w:rFonts w:ascii="Arial" w:cs="Arial" w:eastAsia="Arial" w:hAnsi="Arial"/>
                <w:sz w:val="15"/>
                <w:szCs w:val="15"/>
                <w:color w:val="auto"/>
                <w:w w:val="91"/>
              </w:rPr>
              <w:t>Loss Position</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1360" w:type="dxa"/>
            <w:vAlign w:val="bottom"/>
            <w:gridSpan w:val="3"/>
          </w:tcPr>
          <w:p>
            <w:pPr>
              <w:jc w:val="center"/>
              <w:ind w:right="300"/>
              <w:spacing w:after="0" w:line="162" w:lineRule="exact"/>
              <w:rPr>
                <w:sz w:val="20"/>
                <w:szCs w:val="20"/>
                <w:color w:val="auto"/>
              </w:rPr>
            </w:pPr>
            <w:r>
              <w:rPr>
                <w:rFonts w:ascii="Arial" w:cs="Arial" w:eastAsia="Arial" w:hAnsi="Arial"/>
                <w:sz w:val="15"/>
                <w:szCs w:val="15"/>
                <w:color w:val="auto"/>
                <w:w w:val="97"/>
              </w:rPr>
              <w:t>Amortized</w:t>
            </w:r>
          </w:p>
        </w:tc>
        <w:tc>
          <w:tcPr>
            <w:tcW w:w="880" w:type="dxa"/>
            <w:vAlign w:val="bottom"/>
          </w:tcPr>
          <w:p>
            <w:pPr>
              <w:jc w:val="center"/>
              <w:ind w:left="103"/>
              <w:spacing w:after="0" w:line="162" w:lineRule="exact"/>
              <w:rPr>
                <w:sz w:val="20"/>
                <w:szCs w:val="20"/>
                <w:color w:val="auto"/>
              </w:rPr>
            </w:pPr>
            <w:r>
              <w:rPr>
                <w:rFonts w:ascii="Arial" w:cs="Arial" w:eastAsia="Arial" w:hAnsi="Arial"/>
                <w:sz w:val="15"/>
                <w:szCs w:val="15"/>
                <w:color w:val="auto"/>
                <w:w w:val="98"/>
              </w:rPr>
              <w:t>Holding</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center"/>
              <w:ind w:right="580"/>
              <w:spacing w:after="0" w:line="162" w:lineRule="exact"/>
              <w:rPr>
                <w:sz w:val="20"/>
                <w:szCs w:val="20"/>
                <w:color w:val="auto"/>
              </w:rPr>
            </w:pPr>
            <w:r>
              <w:rPr>
                <w:rFonts w:ascii="Arial" w:cs="Arial" w:eastAsia="Arial" w:hAnsi="Arial"/>
                <w:sz w:val="15"/>
                <w:szCs w:val="15"/>
                <w:color w:val="auto"/>
                <w:w w:val="98"/>
              </w:rPr>
              <w:t>Holding</w:t>
            </w:r>
          </w:p>
        </w:tc>
        <w:tc>
          <w:tcPr>
            <w:tcW w:w="280" w:type="dxa"/>
            <w:vAlign w:val="bottom"/>
          </w:tcPr>
          <w:p>
            <w:pPr>
              <w:spacing w:after="0"/>
              <w:rPr>
                <w:sz w:val="14"/>
                <w:szCs w:val="14"/>
                <w:color w:val="auto"/>
              </w:rPr>
            </w:pPr>
          </w:p>
        </w:tc>
        <w:tc>
          <w:tcPr>
            <w:tcW w:w="880" w:type="dxa"/>
            <w:vAlign w:val="bottom"/>
          </w:tcPr>
          <w:p>
            <w:pPr>
              <w:jc w:val="center"/>
              <w:ind w:right="343"/>
              <w:spacing w:after="0" w:line="162" w:lineRule="exact"/>
              <w:rPr>
                <w:sz w:val="20"/>
                <w:szCs w:val="20"/>
                <w:color w:val="auto"/>
              </w:rPr>
            </w:pPr>
            <w:r>
              <w:rPr>
                <w:rFonts w:ascii="Arial" w:cs="Arial" w:eastAsia="Arial" w:hAnsi="Arial"/>
                <w:sz w:val="15"/>
                <w:szCs w:val="15"/>
                <w:color w:val="auto"/>
              </w:rPr>
              <w:t>Fair</w:t>
            </w:r>
          </w:p>
        </w:tc>
        <w:tc>
          <w:tcPr>
            <w:tcW w:w="160" w:type="dxa"/>
            <w:vAlign w:val="bottom"/>
          </w:tcPr>
          <w:p>
            <w:pPr>
              <w:spacing w:after="0"/>
              <w:rPr>
                <w:sz w:val="14"/>
                <w:szCs w:val="14"/>
                <w:color w:val="auto"/>
              </w:rPr>
            </w:pPr>
          </w:p>
        </w:tc>
        <w:tc>
          <w:tcPr>
            <w:tcW w:w="1400" w:type="dxa"/>
            <w:vAlign w:val="bottom"/>
            <w:gridSpan w:val="3"/>
          </w:tcPr>
          <w:p>
            <w:pPr>
              <w:jc w:val="center"/>
              <w:ind w:right="280"/>
              <w:spacing w:after="0" w:line="162" w:lineRule="exact"/>
              <w:rPr>
                <w:sz w:val="20"/>
                <w:szCs w:val="20"/>
                <w:color w:val="auto"/>
              </w:rPr>
            </w:pPr>
            <w:r>
              <w:rPr>
                <w:rFonts w:ascii="Arial" w:cs="Arial" w:eastAsia="Arial" w:hAnsi="Arial"/>
                <w:sz w:val="15"/>
                <w:szCs w:val="15"/>
                <w:color w:val="auto"/>
                <w:w w:val="88"/>
              </w:rPr>
              <w:t>less than 12</w:t>
            </w:r>
          </w:p>
        </w:tc>
        <w:tc>
          <w:tcPr>
            <w:tcW w:w="1340" w:type="dxa"/>
            <w:vAlign w:val="bottom"/>
            <w:gridSpan w:val="2"/>
          </w:tcPr>
          <w:p>
            <w:pPr>
              <w:jc w:val="center"/>
              <w:ind w:right="43"/>
              <w:spacing w:after="0" w:line="162" w:lineRule="exact"/>
              <w:rPr>
                <w:sz w:val="20"/>
                <w:szCs w:val="20"/>
                <w:color w:val="auto"/>
              </w:rPr>
            </w:pPr>
            <w:r>
              <w:rPr>
                <w:rFonts w:ascii="Arial" w:cs="Arial" w:eastAsia="Arial" w:hAnsi="Arial"/>
                <w:sz w:val="15"/>
                <w:szCs w:val="15"/>
                <w:color w:val="auto"/>
                <w:w w:val="88"/>
              </w:rPr>
              <w:t>greater than 12</w:t>
            </w:r>
          </w:p>
        </w:tc>
        <w:tc>
          <w:tcPr>
            <w:tcW w:w="0" w:type="dxa"/>
            <w:vAlign w:val="bottom"/>
          </w:tcPr>
          <w:p>
            <w:pPr>
              <w:spacing w:after="0"/>
              <w:rPr>
                <w:sz w:val="1"/>
                <w:szCs w:val="1"/>
                <w:color w:val="auto"/>
              </w:rPr>
            </w:pPr>
          </w:p>
        </w:tc>
      </w:tr>
      <w:tr>
        <w:trPr>
          <w:trHeight w:val="182"/>
        </w:trPr>
        <w:tc>
          <w:tcPr>
            <w:tcW w:w="32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December 31, 2011</w:t>
            </w: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center"/>
              <w:ind w:right="620"/>
              <w:spacing w:after="0"/>
              <w:rPr>
                <w:sz w:val="20"/>
                <w:szCs w:val="20"/>
                <w:color w:val="auto"/>
              </w:rPr>
            </w:pPr>
            <w:r>
              <w:rPr>
                <w:rFonts w:ascii="Arial" w:cs="Arial" w:eastAsia="Arial" w:hAnsi="Arial"/>
                <w:sz w:val="15"/>
                <w:szCs w:val="15"/>
                <w:color w:val="auto"/>
                <w:w w:val="90"/>
              </w:rPr>
              <w:t>Cost</w:t>
            </w:r>
          </w:p>
        </w:tc>
        <w:tc>
          <w:tcPr>
            <w:tcW w:w="880" w:type="dxa"/>
            <w:vAlign w:val="bottom"/>
            <w:tcBorders>
              <w:bottom w:val="single" w:sz="8" w:color="auto"/>
            </w:tcBorders>
          </w:tcPr>
          <w:p>
            <w:pPr>
              <w:jc w:val="center"/>
              <w:ind w:left="83"/>
              <w:spacing w:after="0"/>
              <w:rPr>
                <w:sz w:val="20"/>
                <w:szCs w:val="20"/>
                <w:color w:val="auto"/>
              </w:rPr>
            </w:pPr>
            <w:r>
              <w:rPr>
                <w:rFonts w:ascii="Arial" w:cs="Arial" w:eastAsia="Arial" w:hAnsi="Arial"/>
                <w:sz w:val="15"/>
                <w:szCs w:val="15"/>
                <w:color w:val="auto"/>
                <w:w w:val="91"/>
              </w:rPr>
              <w:t>Gains</w:t>
            </w:r>
          </w:p>
        </w:tc>
        <w:tc>
          <w:tcPr>
            <w:tcW w:w="3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ind w:right="580"/>
              <w:spacing w:after="0"/>
              <w:rPr>
                <w:sz w:val="20"/>
                <w:szCs w:val="20"/>
                <w:color w:val="auto"/>
              </w:rPr>
            </w:pPr>
            <w:r>
              <w:rPr>
                <w:rFonts w:ascii="Arial" w:cs="Arial" w:eastAsia="Arial" w:hAnsi="Arial"/>
                <w:sz w:val="15"/>
                <w:szCs w:val="15"/>
                <w:color w:val="auto"/>
                <w:w w:val="88"/>
              </w:rPr>
              <w:t>Losses</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343"/>
              <w:spacing w:after="0"/>
              <w:rPr>
                <w:sz w:val="20"/>
                <w:szCs w:val="20"/>
                <w:color w:val="auto"/>
              </w:rPr>
            </w:pPr>
            <w:r>
              <w:rPr>
                <w:rFonts w:ascii="Arial" w:cs="Arial" w:eastAsia="Arial" w:hAnsi="Arial"/>
                <w:sz w:val="15"/>
                <w:szCs w:val="15"/>
                <w:color w:val="auto"/>
                <w:w w:val="88"/>
              </w:rPr>
              <w:t>Value</w:t>
            </w: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5"/>
                <w:szCs w:val="15"/>
                <w:color w:val="auto"/>
                <w:w w:val="93"/>
              </w:rPr>
              <w:t>Months</w:t>
            </w:r>
          </w:p>
        </w:tc>
        <w:tc>
          <w:tcPr>
            <w:tcW w:w="1040" w:type="dxa"/>
            <w:vAlign w:val="bottom"/>
            <w:tcBorders>
              <w:bottom w:val="single" w:sz="8" w:color="auto"/>
            </w:tcBorders>
          </w:tcPr>
          <w:p>
            <w:pPr>
              <w:jc w:val="center"/>
              <w:ind w:left="103"/>
              <w:spacing w:after="0"/>
              <w:rPr>
                <w:sz w:val="20"/>
                <w:szCs w:val="20"/>
                <w:color w:val="auto"/>
              </w:rPr>
            </w:pPr>
            <w:r>
              <w:rPr>
                <w:rFonts w:ascii="Arial" w:cs="Arial" w:eastAsia="Arial" w:hAnsi="Arial"/>
                <w:sz w:val="15"/>
                <w:szCs w:val="15"/>
                <w:color w:val="auto"/>
                <w:w w:val="93"/>
              </w:rPr>
              <w:t>Months</w:t>
            </w:r>
          </w:p>
        </w:tc>
        <w:tc>
          <w:tcPr>
            <w:tcW w:w="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26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Held-to-Maturity</w:t>
            </w:r>
          </w:p>
        </w:tc>
        <w:tc>
          <w:tcPr>
            <w:tcW w:w="3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tcPr>
          <w:p>
            <w:pPr>
              <w:spacing w:after="0" w:line="162" w:lineRule="exact"/>
              <w:rPr>
                <w:sz w:val="20"/>
                <w:szCs w:val="20"/>
                <w:color w:val="auto"/>
              </w:rPr>
            </w:pPr>
            <w:r>
              <w:rPr>
                <w:rFonts w:ascii="Arial" w:cs="Arial" w:eastAsia="Arial" w:hAnsi="Arial"/>
                <w:sz w:val="15"/>
                <w:szCs w:val="15"/>
                <w:color w:val="auto"/>
              </w:rPr>
              <w:t>Short-term:</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U.S. Treasuries</w:t>
            </w:r>
          </w:p>
        </w:tc>
        <w:tc>
          <w:tcPr>
            <w:tcW w:w="300" w:type="dxa"/>
            <w:vAlign w:val="bottom"/>
            <w:shd w:val="clear" w:color="auto" w:fill="CCEEFF"/>
          </w:tcPr>
          <w:p>
            <w:pPr>
              <w:jc w:val="right"/>
              <w:ind w:right="3"/>
              <w:spacing w:after="0" w:line="162" w:lineRule="exact"/>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83"/>
              <w:spacing w:after="0" w:line="162" w:lineRule="exact"/>
              <w:rPr>
                <w:sz w:val="20"/>
                <w:szCs w:val="20"/>
                <w:color w:val="auto"/>
              </w:rPr>
            </w:pPr>
            <w:r>
              <w:rPr>
                <w:rFonts w:ascii="Arial" w:cs="Arial" w:eastAsia="Arial" w:hAnsi="Arial"/>
                <w:sz w:val="15"/>
                <w:szCs w:val="15"/>
                <w:color w:val="auto"/>
              </w:rPr>
              <w:t>8,034</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563"/>
              <w:spacing w:after="0" w:line="162" w:lineRule="exact"/>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jc w:val="right"/>
              <w:ind w:right="83"/>
              <w:spacing w:after="0" w:line="162" w:lineRule="exact"/>
              <w:rPr>
                <w:sz w:val="20"/>
                <w:szCs w:val="20"/>
                <w:color w:val="auto"/>
              </w:rPr>
            </w:pPr>
            <w:r>
              <w:rPr>
                <w:rFonts w:ascii="Arial" w:cs="Arial" w:eastAsia="Arial" w:hAnsi="Arial"/>
                <w:sz w:val="15"/>
                <w:szCs w:val="15"/>
                <w:color w:val="auto"/>
              </w:rPr>
              <w:t>5</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63"/>
              <w:spacing w:after="0" w:line="162" w:lineRule="exact"/>
              <w:rPr>
                <w:sz w:val="20"/>
                <w:szCs w:val="20"/>
                <w:color w:val="auto"/>
              </w:rPr>
            </w:pPr>
            <w:r>
              <w:rPr>
                <w:rFonts w:ascii="Arial" w:cs="Arial" w:eastAsia="Arial" w:hAnsi="Arial"/>
                <w:sz w:val="15"/>
                <w:szCs w:val="15"/>
                <w:color w:val="auto"/>
              </w:rPr>
              <w:t>8,039</w:t>
            </w:r>
          </w:p>
        </w:tc>
        <w:tc>
          <w:tcPr>
            <w:tcW w:w="3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18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743"/>
              <w:spacing w:after="0" w:line="162" w:lineRule="exact"/>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260" w:type="dxa"/>
            <w:vAlign w:val="bottom"/>
          </w:tcPr>
          <w:p>
            <w:pPr>
              <w:ind w:left="180"/>
              <w:spacing w:after="0" w:line="162" w:lineRule="exact"/>
              <w:rPr>
                <w:sz w:val="20"/>
                <w:szCs w:val="20"/>
                <w:color w:val="auto"/>
              </w:rPr>
            </w:pPr>
            <w:r>
              <w:rPr>
                <w:rFonts w:ascii="Arial" w:cs="Arial" w:eastAsia="Arial" w:hAnsi="Arial"/>
                <w:sz w:val="15"/>
                <w:szCs w:val="15"/>
                <w:color w:val="auto"/>
              </w:rPr>
              <w:t>Certificates of deposit</w:t>
            </w:r>
          </w:p>
        </w:tc>
        <w:tc>
          <w:tcPr>
            <w:tcW w:w="300" w:type="dxa"/>
            <w:vAlign w:val="bottom"/>
          </w:tcPr>
          <w:p>
            <w:pPr>
              <w:spacing w:after="0"/>
              <w:rPr>
                <w:sz w:val="14"/>
                <w:szCs w:val="14"/>
                <w:color w:val="auto"/>
              </w:rPr>
            </w:pPr>
          </w:p>
        </w:tc>
        <w:tc>
          <w:tcPr>
            <w:tcW w:w="900" w:type="dxa"/>
            <w:vAlign w:val="bottom"/>
          </w:tcPr>
          <w:p>
            <w:pPr>
              <w:jc w:val="right"/>
              <w:ind w:right="83"/>
              <w:spacing w:after="0" w:line="162" w:lineRule="exact"/>
              <w:rPr>
                <w:sz w:val="20"/>
                <w:szCs w:val="20"/>
                <w:color w:val="auto"/>
              </w:rPr>
            </w:pPr>
            <w:r>
              <w:rPr>
                <w:rFonts w:ascii="Arial" w:cs="Arial" w:eastAsia="Arial" w:hAnsi="Arial"/>
                <w:sz w:val="15"/>
                <w:szCs w:val="15"/>
                <w:color w:val="auto"/>
              </w:rPr>
              <w:t>29,034</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jc w:val="right"/>
              <w:ind w:right="83"/>
              <w:spacing w:after="0" w:line="162" w:lineRule="exact"/>
              <w:rPr>
                <w:sz w:val="20"/>
                <w:szCs w:val="20"/>
                <w:color w:val="auto"/>
              </w:rPr>
            </w:pPr>
            <w:r>
              <w:rPr>
                <w:rFonts w:ascii="Arial" w:cs="Arial" w:eastAsia="Arial" w:hAnsi="Arial"/>
                <w:sz w:val="15"/>
                <w:szCs w:val="15"/>
                <w:color w:val="auto"/>
              </w:rPr>
              <w:t>1</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right"/>
              <w:ind w:right="320"/>
              <w:spacing w:after="0" w:line="162"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4"/>
                <w:szCs w:val="14"/>
                <w:color w:val="auto"/>
              </w:rPr>
            </w:pPr>
          </w:p>
        </w:tc>
        <w:tc>
          <w:tcPr>
            <w:tcW w:w="880" w:type="dxa"/>
            <w:vAlign w:val="bottom"/>
          </w:tcPr>
          <w:p>
            <w:pPr>
              <w:jc w:val="right"/>
              <w:ind w:right="63"/>
              <w:spacing w:after="0" w:line="162" w:lineRule="exact"/>
              <w:rPr>
                <w:sz w:val="20"/>
                <w:szCs w:val="20"/>
                <w:color w:val="auto"/>
              </w:rPr>
            </w:pPr>
            <w:r>
              <w:rPr>
                <w:rFonts w:ascii="Arial" w:cs="Arial" w:eastAsia="Arial" w:hAnsi="Arial"/>
                <w:sz w:val="15"/>
                <w:szCs w:val="15"/>
                <w:color w:val="auto"/>
              </w:rPr>
              <w:t>29,035</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right"/>
              <w:ind w:right="300"/>
              <w:spacing w:after="0" w:line="162" w:lineRule="exact"/>
              <w:rPr>
                <w:sz w:val="20"/>
                <w:szCs w:val="20"/>
                <w:color w:val="auto"/>
              </w:rPr>
            </w:pPr>
            <w:r>
              <w:rPr>
                <w:rFonts w:ascii="Arial" w:cs="Arial" w:eastAsia="Arial" w:hAnsi="Arial"/>
                <w:sz w:val="15"/>
                <w:szCs w:val="15"/>
                <w:color w:val="auto"/>
              </w:rPr>
              <w:t>—</w:t>
            </w:r>
          </w:p>
        </w:tc>
        <w:tc>
          <w:tcPr>
            <w:tcW w:w="1040" w:type="dxa"/>
            <w:vAlign w:val="bottom"/>
          </w:tcPr>
          <w:p>
            <w:pPr>
              <w:spacing w:after="0"/>
              <w:rPr>
                <w:sz w:val="14"/>
                <w:szCs w:val="14"/>
                <w:color w:val="auto"/>
              </w:rPr>
            </w:pPr>
          </w:p>
        </w:tc>
        <w:tc>
          <w:tcPr>
            <w:tcW w:w="300" w:type="dxa"/>
            <w:vAlign w:val="bottom"/>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26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Corporate bonds</w:t>
            </w:r>
          </w:p>
        </w:tc>
        <w:tc>
          <w:tcPr>
            <w:tcW w:w="3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83"/>
              <w:spacing w:after="0" w:line="162" w:lineRule="exact"/>
              <w:rPr>
                <w:sz w:val="20"/>
                <w:szCs w:val="20"/>
                <w:color w:val="auto"/>
              </w:rPr>
            </w:pPr>
            <w:r>
              <w:rPr>
                <w:rFonts w:ascii="Arial" w:cs="Arial" w:eastAsia="Arial" w:hAnsi="Arial"/>
                <w:sz w:val="15"/>
                <w:szCs w:val="15"/>
                <w:color w:val="auto"/>
              </w:rPr>
              <w:t>2,022</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w w:val="93"/>
              </w:rPr>
              <w:t>—</w:t>
            </w:r>
          </w:p>
        </w:tc>
        <w:tc>
          <w:tcPr>
            <w:tcW w:w="2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63"/>
              <w:spacing w:after="0" w:line="162" w:lineRule="exact"/>
              <w:rPr>
                <w:sz w:val="20"/>
                <w:szCs w:val="20"/>
                <w:color w:val="auto"/>
              </w:rPr>
            </w:pPr>
            <w:r>
              <w:rPr>
                <w:rFonts w:ascii="Arial" w:cs="Arial" w:eastAsia="Arial" w:hAnsi="Arial"/>
                <w:sz w:val="15"/>
                <w:szCs w:val="15"/>
                <w:color w:val="auto"/>
              </w:rPr>
              <w:t>2,022</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260" w:type="dxa"/>
            <w:vAlign w:val="bottom"/>
          </w:tcPr>
          <w:p>
            <w:pPr>
              <w:ind w:left="180"/>
              <w:spacing w:after="0" w:line="162" w:lineRule="exact"/>
              <w:rPr>
                <w:sz w:val="20"/>
                <w:szCs w:val="20"/>
                <w:color w:val="auto"/>
              </w:rPr>
            </w:pPr>
            <w:r>
              <w:rPr>
                <w:rFonts w:ascii="Arial" w:cs="Arial" w:eastAsia="Arial" w:hAnsi="Arial"/>
                <w:sz w:val="15"/>
                <w:szCs w:val="15"/>
                <w:color w:val="auto"/>
              </w:rPr>
              <w:t>Municipal securities</w:t>
            </w:r>
          </w:p>
        </w:tc>
        <w:tc>
          <w:tcPr>
            <w:tcW w:w="300" w:type="dxa"/>
            <w:vAlign w:val="bottom"/>
          </w:tcPr>
          <w:p>
            <w:pPr>
              <w:spacing w:after="0"/>
              <w:rPr>
                <w:sz w:val="14"/>
                <w:szCs w:val="14"/>
                <w:color w:val="auto"/>
              </w:rPr>
            </w:pPr>
          </w:p>
        </w:tc>
        <w:tc>
          <w:tcPr>
            <w:tcW w:w="900" w:type="dxa"/>
            <w:vAlign w:val="bottom"/>
          </w:tcPr>
          <w:p>
            <w:pPr>
              <w:jc w:val="right"/>
              <w:ind w:right="83"/>
              <w:spacing w:after="0" w:line="162" w:lineRule="exact"/>
              <w:rPr>
                <w:sz w:val="20"/>
                <w:szCs w:val="20"/>
                <w:color w:val="auto"/>
              </w:rPr>
            </w:pPr>
            <w:r>
              <w:rPr>
                <w:rFonts w:ascii="Arial" w:cs="Arial" w:eastAsia="Arial" w:hAnsi="Arial"/>
                <w:sz w:val="15"/>
                <w:szCs w:val="15"/>
                <w:color w:val="auto"/>
              </w:rPr>
              <w:t>284,605</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w w:val="93"/>
              </w:rPr>
              <w:t>—</w:t>
            </w:r>
          </w:p>
        </w:tc>
        <w:tc>
          <w:tcPr>
            <w:tcW w:w="240" w:type="dxa"/>
            <w:vAlign w:val="bottom"/>
          </w:tcPr>
          <w:p>
            <w:pPr>
              <w:spacing w:after="0"/>
              <w:rPr>
                <w:sz w:val="14"/>
                <w:szCs w:val="14"/>
                <w:color w:val="auto"/>
              </w:rPr>
            </w:pPr>
          </w:p>
        </w:tc>
        <w:tc>
          <w:tcPr>
            <w:tcW w:w="940" w:type="dxa"/>
            <w:vAlign w:val="bottom"/>
          </w:tcPr>
          <w:p>
            <w:pPr>
              <w:jc w:val="right"/>
              <w:ind w:right="63"/>
              <w:spacing w:after="0" w:line="162" w:lineRule="exact"/>
              <w:rPr>
                <w:sz w:val="20"/>
                <w:szCs w:val="20"/>
                <w:color w:val="auto"/>
              </w:rPr>
            </w:pPr>
            <w:r>
              <w:rPr>
                <w:rFonts w:ascii="Arial" w:cs="Arial" w:eastAsia="Arial" w:hAnsi="Arial"/>
                <w:sz w:val="15"/>
                <w:szCs w:val="15"/>
                <w:color w:val="auto"/>
              </w:rPr>
              <w:t>64</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63"/>
              <w:spacing w:after="0" w:line="162" w:lineRule="exact"/>
              <w:rPr>
                <w:sz w:val="20"/>
                <w:szCs w:val="20"/>
                <w:color w:val="auto"/>
              </w:rPr>
            </w:pPr>
            <w:r>
              <w:rPr>
                <w:rFonts w:ascii="Arial" w:cs="Arial" w:eastAsia="Arial" w:hAnsi="Arial"/>
                <w:sz w:val="15"/>
                <w:szCs w:val="15"/>
                <w:color w:val="auto"/>
              </w:rPr>
              <w:t>284,541</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63"/>
              <w:spacing w:after="0" w:line="162" w:lineRule="exact"/>
              <w:rPr>
                <w:sz w:val="20"/>
                <w:szCs w:val="20"/>
                <w:color w:val="auto"/>
              </w:rPr>
            </w:pPr>
            <w:r>
              <w:rPr>
                <w:rFonts w:ascii="Arial" w:cs="Arial" w:eastAsia="Arial" w:hAnsi="Arial"/>
                <w:sz w:val="15"/>
                <w:szCs w:val="15"/>
                <w:color w:val="auto"/>
              </w:rPr>
              <w:t>64</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26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U.S. government agency securities</w:t>
            </w:r>
          </w:p>
        </w:tc>
        <w:tc>
          <w:tcPr>
            <w:tcW w:w="3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83"/>
              <w:spacing w:after="0" w:line="162" w:lineRule="exact"/>
              <w:rPr>
                <w:sz w:val="20"/>
                <w:szCs w:val="20"/>
                <w:color w:val="auto"/>
              </w:rPr>
            </w:pPr>
            <w:r>
              <w:rPr>
                <w:rFonts w:ascii="Arial" w:cs="Arial" w:eastAsia="Arial" w:hAnsi="Arial"/>
                <w:sz w:val="15"/>
                <w:szCs w:val="15"/>
                <w:color w:val="auto"/>
              </w:rPr>
              <w:t>16,005</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83"/>
              <w:spacing w:after="0" w:line="162" w:lineRule="exact"/>
              <w:rPr>
                <w:sz w:val="20"/>
                <w:szCs w:val="20"/>
                <w:color w:val="auto"/>
              </w:rPr>
            </w:pPr>
            <w:r>
              <w:rPr>
                <w:rFonts w:ascii="Arial" w:cs="Arial" w:eastAsia="Arial" w:hAnsi="Arial"/>
                <w:sz w:val="15"/>
                <w:szCs w:val="15"/>
                <w:color w:val="auto"/>
              </w:rPr>
              <w:t>2</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63"/>
              <w:spacing w:after="0" w:line="162" w:lineRule="exact"/>
              <w:rPr>
                <w:sz w:val="20"/>
                <w:szCs w:val="20"/>
                <w:color w:val="auto"/>
              </w:rPr>
            </w:pPr>
            <w:r>
              <w:rPr>
                <w:rFonts w:ascii="Arial" w:cs="Arial" w:eastAsia="Arial" w:hAnsi="Arial"/>
                <w:sz w:val="15"/>
                <w:szCs w:val="15"/>
                <w:color w:val="auto"/>
              </w:rPr>
              <w:t>16,007</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260" w:type="dxa"/>
            <w:vAlign w:val="bottom"/>
          </w:tcPr>
          <w:p>
            <w:pPr>
              <w:spacing w:after="0" w:line="162" w:lineRule="exact"/>
              <w:rPr>
                <w:sz w:val="20"/>
                <w:szCs w:val="20"/>
                <w:color w:val="auto"/>
              </w:rPr>
            </w:pPr>
            <w:r>
              <w:rPr>
                <w:rFonts w:ascii="Arial" w:cs="Arial" w:eastAsia="Arial" w:hAnsi="Arial"/>
                <w:sz w:val="15"/>
                <w:szCs w:val="15"/>
                <w:b w:val="1"/>
                <w:bCs w:val="1"/>
                <w:color w:val="auto"/>
              </w:rPr>
              <w:t>Available-for-sale</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Short-term:</w:t>
            </w:r>
          </w:p>
        </w:tc>
        <w:tc>
          <w:tcPr>
            <w:tcW w:w="3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tcPr>
          <w:p>
            <w:pPr>
              <w:ind w:left="180"/>
              <w:spacing w:after="0" w:line="162" w:lineRule="exact"/>
              <w:rPr>
                <w:sz w:val="20"/>
                <w:szCs w:val="20"/>
                <w:color w:val="auto"/>
              </w:rPr>
            </w:pPr>
            <w:r>
              <w:rPr>
                <w:rFonts w:ascii="Arial" w:cs="Arial" w:eastAsia="Arial" w:hAnsi="Arial"/>
                <w:sz w:val="15"/>
                <w:szCs w:val="15"/>
                <w:color w:val="auto"/>
              </w:rPr>
              <w:t>Variable rate demand notes</w:t>
            </w:r>
          </w:p>
        </w:tc>
        <w:tc>
          <w:tcPr>
            <w:tcW w:w="300" w:type="dxa"/>
            <w:vAlign w:val="bottom"/>
          </w:tcPr>
          <w:p>
            <w:pPr>
              <w:spacing w:after="0"/>
              <w:rPr>
                <w:sz w:val="14"/>
                <w:szCs w:val="14"/>
                <w:color w:val="auto"/>
              </w:rPr>
            </w:pPr>
          </w:p>
        </w:tc>
        <w:tc>
          <w:tcPr>
            <w:tcW w:w="900" w:type="dxa"/>
            <w:vAlign w:val="bottom"/>
          </w:tcPr>
          <w:p>
            <w:pPr>
              <w:jc w:val="right"/>
              <w:ind w:right="83"/>
              <w:spacing w:after="0" w:line="162" w:lineRule="exact"/>
              <w:rPr>
                <w:sz w:val="20"/>
                <w:szCs w:val="20"/>
                <w:color w:val="auto"/>
              </w:rPr>
            </w:pPr>
            <w:r>
              <w:rPr>
                <w:rFonts w:ascii="Arial" w:cs="Arial" w:eastAsia="Arial" w:hAnsi="Arial"/>
                <w:sz w:val="15"/>
                <w:szCs w:val="15"/>
                <w:color w:val="auto"/>
              </w:rPr>
              <w:t>58,924</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w w:val="93"/>
              </w:rPr>
              <w:t>—</w:t>
            </w:r>
          </w:p>
        </w:tc>
        <w:tc>
          <w:tcPr>
            <w:tcW w:w="240" w:type="dxa"/>
            <w:vAlign w:val="bottom"/>
          </w:tcPr>
          <w:p>
            <w:pPr>
              <w:spacing w:after="0"/>
              <w:rPr>
                <w:sz w:val="14"/>
                <w:szCs w:val="14"/>
                <w:color w:val="auto"/>
              </w:rPr>
            </w:pPr>
          </w:p>
        </w:tc>
        <w:tc>
          <w:tcPr>
            <w:tcW w:w="1120" w:type="dxa"/>
            <w:vAlign w:val="bottom"/>
            <w:gridSpan w:val="2"/>
          </w:tcPr>
          <w:p>
            <w:pPr>
              <w:jc w:val="right"/>
              <w:ind w:right="320"/>
              <w:spacing w:after="0" w:line="162"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4"/>
                <w:szCs w:val="14"/>
                <w:color w:val="auto"/>
              </w:rPr>
            </w:pPr>
          </w:p>
        </w:tc>
        <w:tc>
          <w:tcPr>
            <w:tcW w:w="880" w:type="dxa"/>
            <w:vAlign w:val="bottom"/>
          </w:tcPr>
          <w:p>
            <w:pPr>
              <w:jc w:val="right"/>
              <w:ind w:right="63"/>
              <w:spacing w:after="0" w:line="162" w:lineRule="exact"/>
              <w:rPr>
                <w:sz w:val="20"/>
                <w:szCs w:val="20"/>
                <w:color w:val="auto"/>
              </w:rPr>
            </w:pPr>
            <w:r>
              <w:rPr>
                <w:rFonts w:ascii="Arial" w:cs="Arial" w:eastAsia="Arial" w:hAnsi="Arial"/>
                <w:sz w:val="15"/>
                <w:szCs w:val="15"/>
                <w:color w:val="auto"/>
              </w:rPr>
              <w:t>58,924</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right"/>
              <w:ind w:right="300"/>
              <w:spacing w:after="0" w:line="162" w:lineRule="exact"/>
              <w:rPr>
                <w:sz w:val="20"/>
                <w:szCs w:val="20"/>
                <w:color w:val="auto"/>
              </w:rPr>
            </w:pPr>
            <w:r>
              <w:rPr>
                <w:rFonts w:ascii="Arial" w:cs="Arial" w:eastAsia="Arial" w:hAnsi="Arial"/>
                <w:sz w:val="15"/>
                <w:szCs w:val="15"/>
                <w:color w:val="auto"/>
              </w:rPr>
              <w:t>—</w:t>
            </w:r>
          </w:p>
        </w:tc>
        <w:tc>
          <w:tcPr>
            <w:tcW w:w="1040" w:type="dxa"/>
            <w:vAlign w:val="bottom"/>
          </w:tcPr>
          <w:p>
            <w:pPr>
              <w:spacing w:after="0"/>
              <w:rPr>
                <w:sz w:val="14"/>
                <w:szCs w:val="14"/>
                <w:color w:val="auto"/>
              </w:rPr>
            </w:pPr>
          </w:p>
        </w:tc>
        <w:tc>
          <w:tcPr>
            <w:tcW w:w="300" w:type="dxa"/>
            <w:vAlign w:val="bottom"/>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2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Long-term:</w:t>
            </w:r>
          </w:p>
        </w:tc>
        <w:tc>
          <w:tcPr>
            <w:tcW w:w="3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tcPr>
          <w:p>
            <w:pPr>
              <w:ind w:left="180"/>
              <w:spacing w:after="0" w:line="162" w:lineRule="exact"/>
              <w:rPr>
                <w:sz w:val="20"/>
                <w:szCs w:val="20"/>
                <w:color w:val="auto"/>
              </w:rPr>
            </w:pPr>
            <w:r>
              <w:rPr>
                <w:rFonts w:ascii="Arial" w:cs="Arial" w:eastAsia="Arial" w:hAnsi="Arial"/>
                <w:sz w:val="15"/>
                <w:szCs w:val="15"/>
                <w:color w:val="auto"/>
              </w:rPr>
              <w:t>Auction rate securities</w:t>
            </w:r>
          </w:p>
        </w:tc>
        <w:tc>
          <w:tcPr>
            <w:tcW w:w="300" w:type="dxa"/>
            <w:vAlign w:val="bottom"/>
          </w:tcPr>
          <w:p>
            <w:pPr>
              <w:spacing w:after="0"/>
              <w:rPr>
                <w:sz w:val="14"/>
                <w:szCs w:val="14"/>
                <w:color w:val="auto"/>
              </w:rPr>
            </w:pPr>
          </w:p>
        </w:tc>
        <w:tc>
          <w:tcPr>
            <w:tcW w:w="900" w:type="dxa"/>
            <w:vAlign w:val="bottom"/>
          </w:tcPr>
          <w:p>
            <w:pPr>
              <w:jc w:val="right"/>
              <w:ind w:right="83"/>
              <w:spacing w:after="0" w:line="162" w:lineRule="exact"/>
              <w:rPr>
                <w:sz w:val="20"/>
                <w:szCs w:val="20"/>
                <w:color w:val="auto"/>
              </w:rPr>
            </w:pPr>
            <w:r>
              <w:rPr>
                <w:rFonts w:ascii="Arial" w:cs="Arial" w:eastAsia="Arial" w:hAnsi="Arial"/>
                <w:sz w:val="15"/>
                <w:szCs w:val="15"/>
                <w:color w:val="auto"/>
              </w:rPr>
              <w:t>3,320</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w w:val="93"/>
              </w:rPr>
              <w:t>—</w:t>
            </w:r>
          </w:p>
        </w:tc>
        <w:tc>
          <w:tcPr>
            <w:tcW w:w="240" w:type="dxa"/>
            <w:vAlign w:val="bottom"/>
          </w:tcPr>
          <w:p>
            <w:pPr>
              <w:spacing w:after="0"/>
              <w:rPr>
                <w:sz w:val="14"/>
                <w:szCs w:val="14"/>
                <w:color w:val="auto"/>
              </w:rPr>
            </w:pPr>
          </w:p>
        </w:tc>
        <w:tc>
          <w:tcPr>
            <w:tcW w:w="1120" w:type="dxa"/>
            <w:vAlign w:val="bottom"/>
            <w:gridSpan w:val="2"/>
          </w:tcPr>
          <w:p>
            <w:pPr>
              <w:jc w:val="right"/>
              <w:ind w:right="320"/>
              <w:spacing w:after="0" w:line="162"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4"/>
                <w:szCs w:val="14"/>
                <w:color w:val="auto"/>
              </w:rPr>
            </w:pPr>
          </w:p>
        </w:tc>
        <w:tc>
          <w:tcPr>
            <w:tcW w:w="880" w:type="dxa"/>
            <w:vAlign w:val="bottom"/>
          </w:tcPr>
          <w:p>
            <w:pPr>
              <w:jc w:val="right"/>
              <w:ind w:right="63"/>
              <w:spacing w:after="0" w:line="162" w:lineRule="exact"/>
              <w:rPr>
                <w:sz w:val="20"/>
                <w:szCs w:val="20"/>
                <w:color w:val="auto"/>
              </w:rPr>
            </w:pPr>
            <w:r>
              <w:rPr>
                <w:rFonts w:ascii="Arial" w:cs="Arial" w:eastAsia="Arial" w:hAnsi="Arial"/>
                <w:sz w:val="15"/>
                <w:szCs w:val="15"/>
                <w:color w:val="auto"/>
              </w:rPr>
              <w:t>3,320</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right"/>
              <w:ind w:right="300"/>
              <w:spacing w:after="0" w:line="162" w:lineRule="exact"/>
              <w:rPr>
                <w:sz w:val="20"/>
                <w:szCs w:val="20"/>
                <w:color w:val="auto"/>
              </w:rPr>
            </w:pPr>
            <w:r>
              <w:rPr>
                <w:rFonts w:ascii="Arial" w:cs="Arial" w:eastAsia="Arial" w:hAnsi="Arial"/>
                <w:sz w:val="15"/>
                <w:szCs w:val="15"/>
                <w:color w:val="auto"/>
              </w:rPr>
              <w:t>—</w:t>
            </w:r>
          </w:p>
        </w:tc>
        <w:tc>
          <w:tcPr>
            <w:tcW w:w="1040" w:type="dxa"/>
            <w:vAlign w:val="bottom"/>
          </w:tcPr>
          <w:p>
            <w:pPr>
              <w:spacing w:after="0"/>
              <w:rPr>
                <w:sz w:val="14"/>
                <w:szCs w:val="14"/>
                <w:color w:val="auto"/>
              </w:rPr>
            </w:pPr>
          </w:p>
        </w:tc>
        <w:tc>
          <w:tcPr>
            <w:tcW w:w="300" w:type="dxa"/>
            <w:vAlign w:val="bottom"/>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6"/>
        </w:trPr>
        <w:tc>
          <w:tcPr>
            <w:tcW w:w="3260" w:type="dxa"/>
            <w:vAlign w:val="bottom"/>
            <w:tcBorders>
              <w:top w:val="single" w:sz="8" w:color="CCEEFF"/>
              <w:bottom w:val="single" w:sz="8" w:color="CCEEFF"/>
            </w:tcBorders>
            <w:shd w:val="clear" w:color="auto" w:fill="CCEEFF"/>
          </w:tcPr>
          <w:p>
            <w:pPr>
              <w:ind w:left="380"/>
              <w:spacing w:after="0" w:line="156" w:lineRule="exact"/>
              <w:rPr>
                <w:sz w:val="20"/>
                <w:szCs w:val="20"/>
                <w:color w:val="auto"/>
              </w:rPr>
            </w:pPr>
            <w:r>
              <w:rPr>
                <w:rFonts w:ascii="Arial" w:cs="Arial" w:eastAsia="Arial" w:hAnsi="Arial"/>
                <w:sz w:val="15"/>
                <w:szCs w:val="15"/>
                <w:color w:val="auto"/>
              </w:rPr>
              <w:t>Total</w:t>
            </w:r>
          </w:p>
        </w:tc>
        <w:tc>
          <w:tcPr>
            <w:tcW w:w="300" w:type="dxa"/>
            <w:vAlign w:val="bottom"/>
            <w:tcBorders>
              <w:top w:val="single" w:sz="8" w:color="auto"/>
              <w:bottom w:val="single" w:sz="8" w:color="auto"/>
            </w:tcBorders>
            <w:shd w:val="clear" w:color="auto" w:fill="CCEEFF"/>
          </w:tcPr>
          <w:p>
            <w:pPr>
              <w:jc w:val="right"/>
              <w:ind w:right="3"/>
              <w:spacing w:after="0" w:line="156" w:lineRule="exact"/>
              <w:rPr>
                <w:sz w:val="20"/>
                <w:szCs w:val="20"/>
                <w:color w:val="auto"/>
              </w:rPr>
            </w:pPr>
            <w:r>
              <w:rPr>
                <w:rFonts w:ascii="Arial" w:cs="Arial" w:eastAsia="Arial" w:hAnsi="Arial"/>
                <w:sz w:val="15"/>
                <w:szCs w:val="15"/>
                <w:color w:val="auto"/>
              </w:rPr>
              <w:t>$</w:t>
            </w:r>
          </w:p>
        </w:tc>
        <w:tc>
          <w:tcPr>
            <w:tcW w:w="900" w:type="dxa"/>
            <w:vAlign w:val="bottom"/>
            <w:tcBorders>
              <w:top w:val="single" w:sz="8" w:color="auto"/>
              <w:bottom w:val="single" w:sz="8" w:color="auto"/>
            </w:tcBorders>
            <w:shd w:val="clear" w:color="auto" w:fill="CCEEFF"/>
          </w:tcPr>
          <w:p>
            <w:pPr>
              <w:jc w:val="right"/>
              <w:ind w:right="83"/>
              <w:spacing w:after="0" w:line="156" w:lineRule="exact"/>
              <w:rPr>
                <w:sz w:val="20"/>
                <w:szCs w:val="20"/>
                <w:color w:val="auto"/>
              </w:rPr>
            </w:pPr>
            <w:r>
              <w:rPr>
                <w:rFonts w:ascii="Arial" w:cs="Arial" w:eastAsia="Arial" w:hAnsi="Arial"/>
                <w:sz w:val="15"/>
                <w:szCs w:val="15"/>
                <w:color w:val="auto"/>
              </w:rPr>
              <w:t>401,944</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ind w:right="563"/>
              <w:spacing w:after="0" w:line="156" w:lineRule="exact"/>
              <w:rPr>
                <w:sz w:val="20"/>
                <w:szCs w:val="20"/>
                <w:color w:val="auto"/>
              </w:rPr>
            </w:pPr>
            <w:r>
              <w:rPr>
                <w:rFonts w:ascii="Arial" w:cs="Arial" w:eastAsia="Arial" w:hAnsi="Arial"/>
                <w:sz w:val="15"/>
                <w:szCs w:val="15"/>
                <w:color w:val="auto"/>
              </w:rPr>
              <w:t>$</w:t>
            </w:r>
          </w:p>
        </w:tc>
        <w:tc>
          <w:tcPr>
            <w:tcW w:w="320" w:type="dxa"/>
            <w:vAlign w:val="bottom"/>
            <w:tcBorders>
              <w:top w:val="single" w:sz="8" w:color="auto"/>
              <w:bottom w:val="single" w:sz="8" w:color="auto"/>
            </w:tcBorders>
            <w:shd w:val="clear" w:color="auto" w:fill="CCEEFF"/>
          </w:tcPr>
          <w:p>
            <w:pPr>
              <w:jc w:val="right"/>
              <w:ind w:right="83"/>
              <w:spacing w:after="0" w:line="156" w:lineRule="exact"/>
              <w:rPr>
                <w:sz w:val="20"/>
                <w:szCs w:val="20"/>
                <w:color w:val="auto"/>
              </w:rPr>
            </w:pPr>
            <w:r>
              <w:rPr>
                <w:rFonts w:ascii="Arial" w:cs="Arial" w:eastAsia="Arial" w:hAnsi="Arial"/>
                <w:sz w:val="15"/>
                <w:szCs w:val="15"/>
                <w:color w:val="auto"/>
              </w:rPr>
              <w:t>8</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940" w:type="dxa"/>
            <w:vAlign w:val="bottom"/>
            <w:tcBorders>
              <w:top w:val="single" w:sz="8" w:color="auto"/>
              <w:bottom w:val="single" w:sz="8" w:color="auto"/>
            </w:tcBorders>
            <w:shd w:val="clear" w:color="auto" w:fill="CCEEFF"/>
          </w:tcPr>
          <w:p>
            <w:pPr>
              <w:jc w:val="right"/>
              <w:ind w:right="63"/>
              <w:spacing w:after="0" w:line="156" w:lineRule="exact"/>
              <w:rPr>
                <w:sz w:val="20"/>
                <w:szCs w:val="20"/>
                <w:color w:val="auto"/>
              </w:rPr>
            </w:pPr>
            <w:r>
              <w:rPr>
                <w:rFonts w:ascii="Arial" w:cs="Arial" w:eastAsia="Arial" w:hAnsi="Arial"/>
                <w:sz w:val="15"/>
                <w:szCs w:val="15"/>
                <w:color w:val="auto"/>
              </w:rPr>
              <w:t>64</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CCEEFF"/>
            </w:tcBorders>
            <w:shd w:val="clear" w:color="auto" w:fill="CCEEFF"/>
          </w:tcPr>
          <w:p>
            <w:pPr>
              <w:spacing w:after="0"/>
              <w:rPr>
                <w:sz w:val="13"/>
                <w:szCs w:val="13"/>
                <w:color w:val="auto"/>
              </w:rPr>
            </w:pPr>
          </w:p>
        </w:tc>
        <w:tc>
          <w:tcPr>
            <w:tcW w:w="880" w:type="dxa"/>
            <w:vAlign w:val="bottom"/>
            <w:tcBorders>
              <w:top w:val="single" w:sz="8" w:color="auto"/>
              <w:bottom w:val="single" w:sz="8" w:color="CCEEFF"/>
            </w:tcBorders>
            <w:shd w:val="clear" w:color="auto" w:fill="CCEEFF"/>
          </w:tcPr>
          <w:p>
            <w:pPr>
              <w:jc w:val="right"/>
              <w:ind w:right="63"/>
              <w:spacing w:after="0" w:line="156" w:lineRule="exact"/>
              <w:rPr>
                <w:sz w:val="20"/>
                <w:szCs w:val="20"/>
                <w:color w:val="auto"/>
              </w:rPr>
            </w:pPr>
            <w:r>
              <w:rPr>
                <w:rFonts w:ascii="Arial" w:cs="Arial" w:eastAsia="Arial" w:hAnsi="Arial"/>
                <w:sz w:val="15"/>
                <w:szCs w:val="15"/>
                <w:color w:val="auto"/>
              </w:rPr>
              <w:t>401,888</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1020" w:type="dxa"/>
            <w:vAlign w:val="bottom"/>
            <w:tcBorders>
              <w:top w:val="single" w:sz="8" w:color="auto"/>
              <w:bottom w:val="single" w:sz="8" w:color="auto"/>
            </w:tcBorders>
            <w:shd w:val="clear" w:color="auto" w:fill="CCEEFF"/>
          </w:tcPr>
          <w:p>
            <w:pPr>
              <w:jc w:val="right"/>
              <w:ind w:right="63"/>
              <w:spacing w:after="0" w:line="156" w:lineRule="exact"/>
              <w:rPr>
                <w:sz w:val="20"/>
                <w:szCs w:val="20"/>
                <w:color w:val="auto"/>
              </w:rPr>
            </w:pPr>
            <w:r>
              <w:rPr>
                <w:rFonts w:ascii="Arial" w:cs="Arial" w:eastAsia="Arial" w:hAnsi="Arial"/>
                <w:sz w:val="15"/>
                <w:szCs w:val="15"/>
                <w:color w:val="auto"/>
              </w:rPr>
              <w:t>64</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040" w:type="dxa"/>
            <w:vAlign w:val="bottom"/>
            <w:tcBorders>
              <w:top w:val="single" w:sz="8" w:color="auto"/>
              <w:bottom w:val="single" w:sz="8" w:color="auto"/>
            </w:tcBorders>
            <w:shd w:val="clear" w:color="auto" w:fill="CCEEFF"/>
          </w:tcPr>
          <w:p>
            <w:pPr>
              <w:jc w:val="right"/>
              <w:ind w:right="743"/>
              <w:spacing w:after="0" w:line="156" w:lineRule="exact"/>
              <w:rPr>
                <w:sz w:val="20"/>
                <w:szCs w:val="20"/>
                <w:color w:val="auto"/>
              </w:rPr>
            </w:pPr>
            <w:r>
              <w:rPr>
                <w:rFonts w:ascii="Arial" w:cs="Arial" w:eastAsia="Arial" w:hAnsi="Arial"/>
                <w:sz w:val="15"/>
                <w:szCs w:val="15"/>
                <w:color w:val="auto"/>
              </w:rPr>
              <w:t>$</w:t>
            </w:r>
          </w:p>
        </w:tc>
        <w:tc>
          <w:tcPr>
            <w:tcW w:w="300" w:type="dxa"/>
            <w:vAlign w:val="bottom"/>
            <w:tcBorders>
              <w:top w:val="single" w:sz="8" w:color="auto"/>
              <w:bottom w:val="single" w:sz="8" w:color="auto"/>
            </w:tcBorders>
            <w:shd w:val="clear" w:color="auto" w:fill="CCEEFF"/>
          </w:tcPr>
          <w:p>
            <w:pPr>
              <w:jc w:val="right"/>
              <w:ind w:right="43"/>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3260" w:type="dxa"/>
            <w:vAlign w:val="bottom"/>
            <w:vMerge w:val="restart"/>
          </w:tcPr>
          <w:p>
            <w:pPr>
              <w:spacing w:after="0" w:line="156" w:lineRule="exact"/>
              <w:rPr>
                <w:sz w:val="20"/>
                <w:szCs w:val="20"/>
                <w:color w:val="auto"/>
              </w:rPr>
            </w:pPr>
            <w:r>
              <w:rPr>
                <w:rFonts w:ascii="Arial" w:cs="Arial" w:eastAsia="Arial" w:hAnsi="Arial"/>
                <w:sz w:val="15"/>
                <w:szCs w:val="15"/>
                <w:b w:val="1"/>
                <w:bCs w:val="1"/>
                <w:color w:val="auto"/>
              </w:rPr>
              <w:t>Trading</w:t>
            </w: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26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2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Short-term:</w:t>
            </w:r>
          </w:p>
        </w:tc>
        <w:tc>
          <w:tcPr>
            <w:tcW w:w="3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tcPr>
          <w:p>
            <w:pPr>
              <w:ind w:left="180"/>
              <w:spacing w:after="0" w:line="162" w:lineRule="exact"/>
              <w:rPr>
                <w:sz w:val="20"/>
                <w:szCs w:val="20"/>
                <w:color w:val="auto"/>
              </w:rPr>
            </w:pPr>
            <w:r>
              <w:rPr>
                <w:rFonts w:ascii="Arial" w:cs="Arial" w:eastAsia="Arial" w:hAnsi="Arial"/>
                <w:sz w:val="15"/>
                <w:szCs w:val="15"/>
                <w:color w:val="auto"/>
              </w:rPr>
              <w:t>Auction rate securities</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63"/>
              <w:spacing w:after="0" w:line="162" w:lineRule="exact"/>
              <w:rPr>
                <w:sz w:val="20"/>
                <w:szCs w:val="20"/>
                <w:color w:val="auto"/>
              </w:rPr>
            </w:pPr>
            <w:r>
              <w:rPr>
                <w:rFonts w:ascii="Arial" w:cs="Arial" w:eastAsia="Arial" w:hAnsi="Arial"/>
                <w:sz w:val="15"/>
                <w:szCs w:val="15"/>
                <w:color w:val="auto"/>
              </w:rPr>
              <w:t>12,658</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Long-term:</w:t>
            </w:r>
          </w:p>
        </w:tc>
        <w:tc>
          <w:tcPr>
            <w:tcW w:w="3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tcBorders>
              <w:bottom w:val="single" w:sz="8" w:color="CCEEFF"/>
            </w:tcBorders>
          </w:tcPr>
          <w:p>
            <w:pPr>
              <w:ind w:left="180"/>
              <w:spacing w:after="0" w:line="162" w:lineRule="exact"/>
              <w:rPr>
                <w:sz w:val="20"/>
                <w:szCs w:val="20"/>
                <w:color w:val="auto"/>
              </w:rPr>
            </w:pPr>
            <w:r>
              <w:rPr>
                <w:rFonts w:ascii="Arial" w:cs="Arial" w:eastAsia="Arial" w:hAnsi="Arial"/>
                <w:sz w:val="15"/>
                <w:szCs w:val="15"/>
                <w:color w:val="auto"/>
              </w:rPr>
              <w:t>Auction rate securities</w:t>
            </w:r>
          </w:p>
        </w:tc>
        <w:tc>
          <w:tcPr>
            <w:tcW w:w="30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63"/>
              <w:spacing w:after="0" w:line="162" w:lineRule="exact"/>
              <w:rPr>
                <w:sz w:val="20"/>
                <w:szCs w:val="20"/>
                <w:color w:val="auto"/>
              </w:rPr>
            </w:pPr>
            <w:r>
              <w:rPr>
                <w:rFonts w:ascii="Arial" w:cs="Arial" w:eastAsia="Arial" w:hAnsi="Arial"/>
                <w:sz w:val="15"/>
                <w:szCs w:val="15"/>
                <w:color w:val="auto"/>
              </w:rPr>
              <w:t>19,874</w:t>
            </w:r>
          </w:p>
        </w:tc>
        <w:tc>
          <w:tcPr>
            <w:tcW w:w="1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32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20"/>
          </w:cols>
          <w:pgMar w:left="240" w:top="368" w:right="239" w:bottom="0" w:gutter="0" w:footer="0" w:header="0"/>
        </w:sectPr>
      </w:pPr>
    </w:p>
    <w:bookmarkStart w:id="6" w:name="page7"/>
    <w:bookmarkEnd w:id="6"/>
    <w:p>
      <w:pPr>
        <w:ind w:left="360"/>
        <w:spacing w:after="0"/>
        <w:tabs>
          <w:tab w:leader="none" w:pos="7480" w:val="left"/>
          <w:tab w:leader="none" w:pos="7860" w:val="left"/>
        </w:tabs>
        <w:rPr>
          <w:sz w:val="20"/>
          <w:szCs w:val="20"/>
          <w:color w:val="auto"/>
        </w:rPr>
      </w:pPr>
      <w:r>
        <w:rPr>
          <w:rFonts w:ascii="Arial" w:cs="Arial" w:eastAsia="Arial" w:hAnsi="Arial"/>
          <w:sz w:val="15"/>
          <w:szCs w:val="15"/>
          <w:color w:val="auto"/>
        </w:rPr>
        <w:t>Total</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434,420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46620"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During the three- and six-months ended June 30, 2012 and the year ended December 31, 2011, realized gains or losses recognized on the sale of investments were not significant.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Company recognized a net (loss) gain through earnings on its trading securities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920" w:type="dxa"/>
            <w:vAlign w:val="bottom"/>
          </w:tcPr>
          <w:p>
            <w:pPr>
              <w:spacing w:after="0"/>
              <w:rPr>
                <w:sz w:val="21"/>
                <w:szCs w:val="21"/>
                <w:color w:val="auto"/>
              </w:rPr>
            </w:pPr>
          </w:p>
        </w:tc>
        <w:tc>
          <w:tcPr>
            <w:tcW w:w="3400" w:type="dxa"/>
            <w:vAlign w:val="bottom"/>
            <w:gridSpan w:val="6"/>
          </w:tcPr>
          <w:p>
            <w:pPr>
              <w:ind w:left="680"/>
              <w:spacing w:after="0"/>
              <w:rPr>
                <w:sz w:val="20"/>
                <w:szCs w:val="20"/>
                <w:color w:val="auto"/>
              </w:rPr>
            </w:pPr>
            <w:r>
              <w:rPr>
                <w:rFonts w:ascii="Arial" w:cs="Arial" w:eastAsia="Arial" w:hAnsi="Arial"/>
                <w:sz w:val="22"/>
                <w:szCs w:val="22"/>
                <w:color w:val="auto"/>
              </w:rPr>
              <w:t>Three-Months Ended</w:t>
            </w:r>
          </w:p>
        </w:tc>
        <w:tc>
          <w:tcPr>
            <w:tcW w:w="360" w:type="dxa"/>
            <w:vAlign w:val="bottom"/>
          </w:tcPr>
          <w:p>
            <w:pPr>
              <w:spacing w:after="0"/>
              <w:rPr>
                <w:sz w:val="21"/>
                <w:szCs w:val="21"/>
                <w:color w:val="auto"/>
              </w:rPr>
            </w:pPr>
          </w:p>
        </w:tc>
        <w:tc>
          <w:tcPr>
            <w:tcW w:w="2740" w:type="dxa"/>
            <w:vAlign w:val="bottom"/>
            <w:gridSpan w:val="4"/>
          </w:tcPr>
          <w:p>
            <w:pPr>
              <w:jc w:val="right"/>
              <w:ind w:right="692"/>
              <w:spacing w:after="0"/>
              <w:rPr>
                <w:sz w:val="20"/>
                <w:szCs w:val="20"/>
                <w:color w:val="auto"/>
              </w:rPr>
            </w:pPr>
            <w:r>
              <w:rPr>
                <w:rFonts w:ascii="Arial" w:cs="Arial" w:eastAsia="Arial" w:hAnsi="Arial"/>
                <w:sz w:val="22"/>
                <w:szCs w:val="22"/>
                <w:color w:val="auto"/>
              </w:rPr>
              <w:t>Six-Months Ended</w:t>
            </w:r>
          </w:p>
        </w:tc>
      </w:tr>
      <w:tr>
        <w:trPr>
          <w:trHeight w:val="265"/>
        </w:trPr>
        <w:tc>
          <w:tcPr>
            <w:tcW w:w="4920" w:type="dxa"/>
            <w:vAlign w:val="bottom"/>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22"/>
                <w:szCs w:val="22"/>
                <w:color w:val="auto"/>
              </w:rPr>
              <w:t>June 30,</w:t>
            </w:r>
          </w:p>
        </w:tc>
        <w:tc>
          <w:tcPr>
            <w:tcW w:w="1160" w:type="dxa"/>
            <w:vAlign w:val="bottom"/>
            <w:tcBorders>
              <w:bottom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22"/>
                <w:szCs w:val="22"/>
                <w:color w:val="auto"/>
              </w:rPr>
              <w:t>June 30,</w:t>
            </w:r>
          </w:p>
        </w:tc>
        <w:tc>
          <w:tcPr>
            <w:tcW w:w="1100" w:type="dxa"/>
            <w:vAlign w:val="bottom"/>
            <w:tcBorders>
              <w:bottom w:val="single" w:sz="8" w:color="auto"/>
            </w:tcBorders>
          </w:tcPr>
          <w:p>
            <w:pPr>
              <w:spacing w:after="0"/>
              <w:rPr>
                <w:sz w:val="23"/>
                <w:szCs w:val="23"/>
                <w:color w:val="auto"/>
              </w:rPr>
            </w:pPr>
          </w:p>
        </w:tc>
      </w:tr>
      <w:tr>
        <w:trPr>
          <w:trHeight w:val="237"/>
        </w:trPr>
        <w:tc>
          <w:tcPr>
            <w:tcW w:w="492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2012</w:t>
            </w:r>
          </w:p>
        </w:tc>
        <w:tc>
          <w:tcPr>
            <w:tcW w:w="58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2"/>
              <w:spacing w:after="0" w:line="237" w:lineRule="exact"/>
              <w:rPr>
                <w:sz w:val="20"/>
                <w:szCs w:val="20"/>
                <w:color w:val="auto"/>
              </w:rPr>
            </w:pPr>
            <w:r>
              <w:rPr>
                <w:rFonts w:ascii="Arial" w:cs="Arial" w:eastAsia="Arial" w:hAnsi="Arial"/>
                <w:sz w:val="22"/>
                <w:szCs w:val="22"/>
                <w:color w:val="auto"/>
              </w:rPr>
              <w:t>2011</w:t>
            </w:r>
          </w:p>
        </w:tc>
        <w:tc>
          <w:tcPr>
            <w:tcW w:w="1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2"/>
              <w:spacing w:after="0" w:line="237" w:lineRule="exact"/>
              <w:rPr>
                <w:sz w:val="20"/>
                <w:szCs w:val="20"/>
                <w:color w:val="auto"/>
              </w:rPr>
            </w:pPr>
            <w:r>
              <w:rPr>
                <w:rFonts w:ascii="Arial" w:cs="Arial" w:eastAsia="Arial" w:hAnsi="Arial"/>
                <w:sz w:val="22"/>
                <w:szCs w:val="22"/>
                <w:color w:val="auto"/>
              </w:rPr>
              <w:t>2012</w:t>
            </w:r>
          </w:p>
        </w:tc>
        <w:tc>
          <w:tcPr>
            <w:tcW w:w="1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2"/>
              <w:spacing w:after="0" w:line="237" w:lineRule="exact"/>
              <w:rPr>
                <w:sz w:val="20"/>
                <w:szCs w:val="20"/>
                <w:color w:val="auto"/>
              </w:rPr>
            </w:pPr>
            <w:r>
              <w:rPr>
                <w:rFonts w:ascii="Arial" w:cs="Arial" w:eastAsia="Arial" w:hAnsi="Arial"/>
                <w:sz w:val="22"/>
                <w:szCs w:val="22"/>
                <w:color w:val="auto"/>
              </w:rPr>
              <w:t>2011</w:t>
            </w:r>
          </w:p>
        </w:tc>
      </w:tr>
      <w:tr>
        <w:trPr>
          <w:trHeight w:val="237"/>
        </w:trPr>
        <w:tc>
          <w:tcPr>
            <w:tcW w:w="4920" w:type="dxa"/>
            <w:vAlign w:val="bottom"/>
            <w:shd w:val="clear" w:color="auto" w:fill="CCEEFF"/>
          </w:tcPr>
          <w:p>
            <w:pPr>
              <w:spacing w:after="0" w:line="237" w:lineRule="exact"/>
              <w:rPr>
                <w:sz w:val="20"/>
                <w:szCs w:val="20"/>
                <w:color w:val="auto"/>
              </w:rPr>
            </w:pPr>
            <w:r>
              <w:rPr>
                <w:rFonts w:ascii="Arial" w:cs="Arial" w:eastAsia="Arial" w:hAnsi="Arial"/>
                <w:sz w:val="22"/>
                <w:szCs w:val="22"/>
                <w:color w:val="auto"/>
                <w:w w:val="99"/>
              </w:rPr>
              <w:t>(Loss) on transfer from available-for-sale to trading</w:t>
            </w:r>
          </w:p>
        </w:tc>
        <w:tc>
          <w:tcPr>
            <w:tcW w:w="940" w:type="dxa"/>
            <w:vAlign w:val="bottom"/>
            <w:shd w:val="clear" w:color="auto" w:fill="CCEEFF"/>
          </w:tcPr>
          <w:p>
            <w:pPr>
              <w:jc w:val="right"/>
              <w:ind w:right="592"/>
              <w:spacing w:after="0" w:line="237" w:lineRule="exact"/>
              <w:rPr>
                <w:sz w:val="20"/>
                <w:szCs w:val="20"/>
                <w:color w:val="auto"/>
              </w:rPr>
            </w:pPr>
            <w:r>
              <w:rPr>
                <w:rFonts w:ascii="Arial" w:cs="Arial" w:eastAsia="Arial" w:hAnsi="Arial"/>
                <w:sz w:val="22"/>
                <w:szCs w:val="22"/>
                <w:color w:val="auto"/>
              </w:rPr>
              <w:t>$</w:t>
            </w:r>
          </w:p>
        </w:tc>
        <w:tc>
          <w:tcPr>
            <w:tcW w:w="580" w:type="dxa"/>
            <w:vAlign w:val="bottom"/>
            <w:shd w:val="clear" w:color="auto" w:fill="CCEEFF"/>
          </w:tcPr>
          <w:p>
            <w:pPr>
              <w:jc w:val="right"/>
              <w:ind w:right="52"/>
              <w:spacing w:after="0" w:line="237" w:lineRule="exact"/>
              <w:rPr>
                <w:sz w:val="20"/>
                <w:szCs w:val="20"/>
                <w:color w:val="auto"/>
              </w:rPr>
            </w:pPr>
            <w:r>
              <w:rPr>
                <w:rFonts w:ascii="Arial" w:cs="Arial" w:eastAsia="Arial" w:hAnsi="Arial"/>
                <w:sz w:val="22"/>
                <w:szCs w:val="22"/>
                <w:color w:val="auto"/>
              </w:rPr>
              <w:t>-</w:t>
            </w: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2"/>
              <w:spacing w:after="0" w:line="237" w:lineRule="exact"/>
              <w:rPr>
                <w:sz w:val="20"/>
                <w:szCs w:val="20"/>
                <w:color w:val="auto"/>
              </w:rPr>
            </w:pPr>
            <w:r>
              <w:rPr>
                <w:rFonts w:ascii="Arial" w:cs="Arial" w:eastAsia="Arial" w:hAnsi="Arial"/>
                <w:sz w:val="22"/>
                <w:szCs w:val="22"/>
                <w:color w:val="auto"/>
              </w:rPr>
              <w:t>$</w:t>
            </w:r>
          </w:p>
        </w:tc>
        <w:tc>
          <w:tcPr>
            <w:tcW w:w="116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rPr>
              <w:t>(2,439)</w:t>
            </w: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rPr>
              <w:t>$</w:t>
            </w:r>
          </w:p>
        </w:tc>
        <w:tc>
          <w:tcPr>
            <w:tcW w:w="1140" w:type="dxa"/>
            <w:vAlign w:val="bottom"/>
            <w:shd w:val="clear" w:color="auto" w:fill="CCEEFF"/>
          </w:tcPr>
          <w:p>
            <w:pPr>
              <w:jc w:val="right"/>
              <w:ind w:right="32"/>
              <w:spacing w:after="0" w:line="237" w:lineRule="exact"/>
              <w:rPr>
                <w:sz w:val="20"/>
                <w:szCs w:val="20"/>
                <w:color w:val="auto"/>
              </w:rPr>
            </w:pPr>
            <w:r>
              <w:rPr>
                <w:rFonts w:ascii="Arial" w:cs="Arial" w:eastAsia="Arial" w:hAnsi="Arial"/>
                <w:sz w:val="22"/>
                <w:szCs w:val="22"/>
                <w:color w:val="auto"/>
              </w:rPr>
              <w:t>-</w:t>
            </w: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rPr>
              <w:t>$</w:t>
            </w:r>
          </w:p>
        </w:tc>
        <w:tc>
          <w:tcPr>
            <w:tcW w:w="110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rPr>
              <w:t>(2,439)</w:t>
            </w:r>
          </w:p>
        </w:tc>
      </w:tr>
      <w:tr>
        <w:trPr>
          <w:trHeight w:val="243"/>
        </w:trPr>
        <w:tc>
          <w:tcPr>
            <w:tcW w:w="4920" w:type="dxa"/>
            <w:vAlign w:val="bottom"/>
          </w:tcPr>
          <w:p>
            <w:pPr>
              <w:spacing w:after="0" w:line="243" w:lineRule="exact"/>
              <w:rPr>
                <w:sz w:val="20"/>
                <w:szCs w:val="20"/>
                <w:color w:val="auto"/>
              </w:rPr>
            </w:pPr>
            <w:r>
              <w:rPr>
                <w:rFonts w:ascii="Arial" w:cs="Arial" w:eastAsia="Arial" w:hAnsi="Arial"/>
                <w:sz w:val="22"/>
                <w:szCs w:val="22"/>
                <w:color w:val="auto"/>
              </w:rPr>
              <w:t>Gain on trading securities sold</w:t>
            </w:r>
          </w:p>
        </w:tc>
        <w:tc>
          <w:tcPr>
            <w:tcW w:w="940" w:type="dxa"/>
            <w:vAlign w:val="bottom"/>
          </w:tcPr>
          <w:p>
            <w:pPr>
              <w:spacing w:after="0"/>
              <w:rPr>
                <w:sz w:val="21"/>
                <w:szCs w:val="21"/>
                <w:color w:val="auto"/>
              </w:rPr>
            </w:pPr>
          </w:p>
        </w:tc>
        <w:tc>
          <w:tcPr>
            <w:tcW w:w="580" w:type="dxa"/>
            <w:vAlign w:val="bottom"/>
          </w:tcPr>
          <w:p>
            <w:pPr>
              <w:jc w:val="right"/>
              <w:ind w:right="52"/>
              <w:spacing w:after="0" w:line="243" w:lineRule="exact"/>
              <w:rPr>
                <w:sz w:val="20"/>
                <w:szCs w:val="20"/>
                <w:color w:val="auto"/>
              </w:rPr>
            </w:pPr>
            <w:r>
              <w:rPr>
                <w:rFonts w:ascii="Arial" w:cs="Arial" w:eastAsia="Arial" w:hAnsi="Arial"/>
                <w:sz w:val="22"/>
                <w:szCs w:val="22"/>
                <w:color w:val="auto"/>
              </w:rPr>
              <w:t>54</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52"/>
              <w:spacing w:after="0" w:line="243" w:lineRule="exact"/>
              <w:rPr>
                <w:sz w:val="20"/>
                <w:szCs w:val="20"/>
                <w:color w:val="auto"/>
              </w:rPr>
            </w:pPr>
            <w:r>
              <w:rPr>
                <w:rFonts w:ascii="Arial" w:cs="Arial" w:eastAsia="Arial" w:hAnsi="Arial"/>
                <w:sz w:val="22"/>
                <w:szCs w:val="22"/>
                <w:color w:val="auto"/>
              </w:rPr>
              <w:t>1,919</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2"/>
              <w:spacing w:after="0" w:line="243" w:lineRule="exact"/>
              <w:rPr>
                <w:sz w:val="20"/>
                <w:szCs w:val="20"/>
                <w:color w:val="auto"/>
              </w:rPr>
            </w:pPr>
            <w:r>
              <w:rPr>
                <w:rFonts w:ascii="Arial" w:cs="Arial" w:eastAsia="Arial" w:hAnsi="Arial"/>
                <w:sz w:val="22"/>
                <w:szCs w:val="22"/>
                <w:color w:val="auto"/>
              </w:rPr>
              <w:t>1,088</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line="243" w:lineRule="exact"/>
              <w:rPr>
                <w:sz w:val="20"/>
                <w:szCs w:val="20"/>
                <w:color w:val="auto"/>
              </w:rPr>
            </w:pPr>
            <w:r>
              <w:rPr>
                <w:rFonts w:ascii="Arial" w:cs="Arial" w:eastAsia="Arial" w:hAnsi="Arial"/>
                <w:sz w:val="22"/>
                <w:szCs w:val="22"/>
                <w:color w:val="auto"/>
              </w:rPr>
              <w:t>2,046</w:t>
            </w:r>
          </w:p>
        </w:tc>
      </w:tr>
      <w:tr>
        <w:trPr>
          <w:trHeight w:val="243"/>
        </w:trPr>
        <w:tc>
          <w:tcPr>
            <w:tcW w:w="49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(Loss) gain on trading securities held</w:t>
            </w:r>
          </w:p>
        </w:tc>
        <w:tc>
          <w:tcPr>
            <w:tcW w:w="9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w w:val="93"/>
              </w:rPr>
              <w:t>(255)</w:t>
            </w:r>
          </w:p>
        </w:tc>
        <w:tc>
          <w:tcPr>
            <w:tcW w:w="1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(133)</w:t>
            </w:r>
          </w:p>
        </w:tc>
        <w:tc>
          <w:tcPr>
            <w:tcW w:w="1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2"/>
              <w:spacing w:after="0" w:line="243" w:lineRule="exact"/>
              <w:rPr>
                <w:sz w:val="20"/>
                <w:szCs w:val="20"/>
                <w:color w:val="auto"/>
              </w:rPr>
            </w:pPr>
            <w:r>
              <w:rPr>
                <w:rFonts w:ascii="Arial" w:cs="Arial" w:eastAsia="Arial" w:hAnsi="Arial"/>
                <w:sz w:val="22"/>
                <w:szCs w:val="22"/>
                <w:color w:val="auto"/>
              </w:rPr>
              <w:t>498</w:t>
            </w:r>
          </w:p>
        </w:tc>
        <w:tc>
          <w:tcPr>
            <w:tcW w:w="16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19</w:t>
            </w:r>
          </w:p>
        </w:tc>
      </w:tr>
      <w:tr>
        <w:trPr>
          <w:trHeight w:val="237"/>
        </w:trPr>
        <w:tc>
          <w:tcPr>
            <w:tcW w:w="4920" w:type="dxa"/>
            <w:vAlign w:val="bottom"/>
          </w:tcPr>
          <w:p>
            <w:pPr>
              <w:spacing w:after="0" w:line="237" w:lineRule="exact"/>
              <w:rPr>
                <w:sz w:val="20"/>
                <w:szCs w:val="20"/>
                <w:color w:val="auto"/>
              </w:rPr>
            </w:pPr>
            <w:r>
              <w:rPr>
                <w:rFonts w:ascii="Arial" w:cs="Arial" w:eastAsia="Arial" w:hAnsi="Arial"/>
                <w:sz w:val="22"/>
                <w:szCs w:val="22"/>
                <w:color w:val="auto"/>
              </w:rPr>
              <w:t>(Loss) gain on trading securites</w:t>
            </w:r>
          </w:p>
        </w:tc>
        <w:tc>
          <w:tcPr>
            <w:tcW w:w="940" w:type="dxa"/>
            <w:vAlign w:val="bottom"/>
            <w:tcBorders>
              <w:bottom w:val="single" w:sz="8" w:color="auto"/>
            </w:tcBorders>
          </w:tcPr>
          <w:p>
            <w:pPr>
              <w:jc w:val="right"/>
              <w:ind w:right="592"/>
              <w:spacing w:after="0" w:line="237" w:lineRule="exact"/>
              <w:rPr>
                <w:sz w:val="20"/>
                <w:szCs w:val="20"/>
                <w:color w:val="auto"/>
              </w:rPr>
            </w:pPr>
            <w:r>
              <w:rPr>
                <w:rFonts w:ascii="Arial" w:cs="Arial" w:eastAsia="Arial" w:hAnsi="Arial"/>
                <w:sz w:val="22"/>
                <w:szCs w:val="22"/>
                <w:color w:val="auto"/>
              </w:rPr>
              <w:t>$</w:t>
            </w:r>
          </w:p>
        </w:tc>
        <w:tc>
          <w:tcPr>
            <w:tcW w:w="58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w w:val="93"/>
              </w:rPr>
              <w:t>(201)</w:t>
            </w:r>
          </w:p>
        </w:tc>
        <w:tc>
          <w:tcPr>
            <w:tcW w:w="180" w:type="dxa"/>
            <w:vAlign w:val="bottom"/>
          </w:tcPr>
          <w:p>
            <w:pPr>
              <w:spacing w:after="0"/>
              <w:rPr>
                <w:sz w:val="20"/>
                <w:szCs w:val="20"/>
                <w:color w:val="auto"/>
              </w:rPr>
            </w:pPr>
          </w:p>
        </w:tc>
        <w:tc>
          <w:tcPr>
            <w:tcW w:w="360" w:type="dxa"/>
            <w:vAlign w:val="bottom"/>
            <w:tcBorders>
              <w:bottom w:val="single" w:sz="8" w:color="auto"/>
            </w:tcBorders>
          </w:tcPr>
          <w:p>
            <w:pPr>
              <w:jc w:val="right"/>
              <w:ind w:right="12"/>
              <w:spacing w:after="0" w:line="237" w:lineRule="exact"/>
              <w:rPr>
                <w:sz w:val="20"/>
                <w:szCs w:val="20"/>
                <w:color w:val="auto"/>
              </w:rPr>
            </w:pPr>
            <w:r>
              <w:rPr>
                <w:rFonts w:ascii="Arial" w:cs="Arial" w:eastAsia="Arial" w:hAnsi="Arial"/>
                <w:sz w:val="22"/>
                <w:szCs w:val="22"/>
                <w:color w:val="auto"/>
              </w:rPr>
              <w:t>$</w:t>
            </w:r>
          </w:p>
        </w:tc>
        <w:tc>
          <w:tcPr>
            <w:tcW w:w="11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(653)</w:t>
            </w:r>
          </w:p>
        </w:tc>
        <w:tc>
          <w:tcPr>
            <w:tcW w:w="180" w:type="dxa"/>
            <w:vAlign w:val="bottom"/>
          </w:tcPr>
          <w:p>
            <w:pPr>
              <w:spacing w:after="0"/>
              <w:rPr>
                <w:sz w:val="20"/>
                <w:szCs w:val="20"/>
                <w:color w:val="auto"/>
              </w:rPr>
            </w:pPr>
          </w:p>
        </w:tc>
        <w:tc>
          <w:tcPr>
            <w:tcW w:w="3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w:t>
            </w:r>
          </w:p>
        </w:tc>
        <w:tc>
          <w:tcPr>
            <w:tcW w:w="1140" w:type="dxa"/>
            <w:vAlign w:val="bottom"/>
            <w:tcBorders>
              <w:bottom w:val="single" w:sz="8" w:color="auto"/>
            </w:tcBorders>
          </w:tcPr>
          <w:p>
            <w:pPr>
              <w:jc w:val="right"/>
              <w:ind w:right="32"/>
              <w:spacing w:after="0" w:line="237" w:lineRule="exact"/>
              <w:rPr>
                <w:sz w:val="20"/>
                <w:szCs w:val="20"/>
                <w:color w:val="auto"/>
              </w:rPr>
            </w:pPr>
            <w:r>
              <w:rPr>
                <w:rFonts w:ascii="Arial" w:cs="Arial" w:eastAsia="Arial" w:hAnsi="Arial"/>
                <w:sz w:val="22"/>
                <w:szCs w:val="22"/>
                <w:color w:val="auto"/>
              </w:rPr>
              <w:t>1,586</w:t>
            </w:r>
          </w:p>
        </w:tc>
        <w:tc>
          <w:tcPr>
            <w:tcW w:w="160" w:type="dxa"/>
            <w:vAlign w:val="bottom"/>
          </w:tcPr>
          <w:p>
            <w:pPr>
              <w:spacing w:after="0"/>
              <w:rPr>
                <w:sz w:val="20"/>
                <w:szCs w:val="20"/>
                <w:color w:val="auto"/>
              </w:rPr>
            </w:pPr>
          </w:p>
        </w:tc>
        <w:tc>
          <w:tcPr>
            <w:tcW w:w="34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w:t>
            </w:r>
          </w:p>
        </w:tc>
        <w:tc>
          <w:tcPr>
            <w:tcW w:w="110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(374)</w:t>
            </w:r>
          </w:p>
        </w:tc>
      </w:tr>
      <w:tr>
        <w:trPr>
          <w:trHeight w:val="20"/>
        </w:trPr>
        <w:tc>
          <w:tcPr>
            <w:tcW w:w="49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The Company’s investments at June 30, 2012 and December 31, 2011 in U.S. Treasuries, certificates of deposit, corporate bonds, municipal securities, U.S. government agency securities and variable rate demand notes (“VRDNs”) carry investment grade credit ratings. VRDNs are floating rate municipal bonds with embedded put options that allow the bondholder to sell the security at par plus accrued interest. All of the put options are secured by a pledged liquidity source. While they are classified as marketable investment securities, the put option allows the VRDNs to be liquidated at par on a same day, or more generally on a seven day, settlement basis. A portion of the Company’s investments at June 30, 2012 and December 31, 2011 in municipal, educational or other public body securities with an auction reset feature (“auction rate securities”) also carry investment grade credit ratings.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table summarizes the underlying contractual maturities of the Company’s investments at:</w:t>
      </w:r>
    </w:p>
    <w:p>
      <w:pPr>
        <w:spacing w:after="0" w:line="200" w:lineRule="exact"/>
        <w:rPr>
          <w:sz w:val="20"/>
          <w:szCs w:val="20"/>
          <w:color w:val="auto"/>
        </w:rPr>
      </w:pP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398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1145"/>
              <w:spacing w:after="0"/>
              <w:rPr>
                <w:sz w:val="20"/>
                <w:szCs w:val="20"/>
                <w:color w:val="auto"/>
              </w:rPr>
            </w:pPr>
            <w:r>
              <w:rPr>
                <w:rFonts w:ascii="Arial" w:cs="Arial" w:eastAsia="Arial" w:hAnsi="Arial"/>
                <w:sz w:val="19"/>
                <w:szCs w:val="19"/>
                <w:color w:val="auto"/>
              </w:rPr>
              <w:t>June 30, 2012</w:t>
            </w:r>
          </w:p>
        </w:tc>
        <w:tc>
          <w:tcPr>
            <w:tcW w:w="18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jc w:val="right"/>
              <w:ind w:right="825"/>
              <w:spacing w:after="0"/>
              <w:rPr>
                <w:sz w:val="20"/>
                <w:szCs w:val="20"/>
                <w:color w:val="auto"/>
              </w:rPr>
            </w:pPr>
            <w:r>
              <w:rPr>
                <w:rFonts w:ascii="Arial" w:cs="Arial" w:eastAsia="Arial" w:hAnsi="Arial"/>
                <w:sz w:val="19"/>
                <w:szCs w:val="19"/>
                <w:color w:val="auto"/>
              </w:rPr>
              <w:t>December 31, 2011</w:t>
            </w:r>
          </w:p>
        </w:tc>
      </w:tr>
      <w:tr>
        <w:trPr>
          <w:trHeight w:val="426"/>
        </w:trPr>
        <w:tc>
          <w:tcPr>
            <w:tcW w:w="3980" w:type="dxa"/>
            <w:vAlign w:val="bottom"/>
          </w:tcPr>
          <w:p>
            <w:pPr>
              <w:spacing w:after="0"/>
              <w:rPr>
                <w:sz w:val="24"/>
                <w:szCs w:val="24"/>
                <w:color w:val="auto"/>
              </w:rPr>
            </w:pPr>
          </w:p>
        </w:tc>
        <w:tc>
          <w:tcPr>
            <w:tcW w:w="1880" w:type="dxa"/>
            <w:vAlign w:val="bottom"/>
            <w:gridSpan w:val="3"/>
          </w:tcPr>
          <w:p>
            <w:pPr>
              <w:ind w:left="180"/>
              <w:spacing w:after="0"/>
              <w:rPr>
                <w:sz w:val="20"/>
                <w:szCs w:val="20"/>
                <w:color w:val="auto"/>
              </w:rPr>
            </w:pPr>
            <w:r>
              <w:rPr>
                <w:rFonts w:ascii="Arial" w:cs="Arial" w:eastAsia="Arial" w:hAnsi="Arial"/>
                <w:sz w:val="19"/>
                <w:szCs w:val="19"/>
                <w:color w:val="auto"/>
              </w:rPr>
              <w:t>Amortized Cost</w:t>
            </w:r>
          </w:p>
        </w:tc>
        <w:tc>
          <w:tcPr>
            <w:tcW w:w="300" w:type="dxa"/>
            <w:vAlign w:val="bottom"/>
          </w:tcPr>
          <w:p>
            <w:pPr>
              <w:spacing w:after="0"/>
              <w:rPr>
                <w:sz w:val="24"/>
                <w:szCs w:val="24"/>
                <w:color w:val="auto"/>
              </w:rPr>
            </w:pPr>
          </w:p>
        </w:tc>
        <w:tc>
          <w:tcPr>
            <w:tcW w:w="1560" w:type="dxa"/>
            <w:vAlign w:val="bottom"/>
            <w:gridSpan w:val="2"/>
          </w:tcPr>
          <w:p>
            <w:pPr>
              <w:ind w:left="80"/>
              <w:spacing w:after="0"/>
              <w:rPr>
                <w:sz w:val="20"/>
                <w:szCs w:val="20"/>
                <w:color w:val="auto"/>
              </w:rPr>
            </w:pPr>
            <w:r>
              <w:rPr>
                <w:rFonts w:ascii="Arial" w:cs="Arial" w:eastAsia="Arial" w:hAnsi="Arial"/>
                <w:sz w:val="19"/>
                <w:szCs w:val="19"/>
                <w:color w:val="auto"/>
              </w:rPr>
              <w:t>Fair Value</w:t>
            </w:r>
          </w:p>
        </w:tc>
        <w:tc>
          <w:tcPr>
            <w:tcW w:w="1800" w:type="dxa"/>
            <w:vAlign w:val="bottom"/>
            <w:gridSpan w:val="3"/>
          </w:tcPr>
          <w:p>
            <w:pPr>
              <w:ind w:left="160"/>
              <w:spacing w:after="0"/>
              <w:rPr>
                <w:sz w:val="20"/>
                <w:szCs w:val="20"/>
                <w:color w:val="auto"/>
              </w:rPr>
            </w:pPr>
            <w:r>
              <w:rPr>
                <w:rFonts w:ascii="Arial" w:cs="Arial" w:eastAsia="Arial" w:hAnsi="Arial"/>
                <w:sz w:val="19"/>
                <w:szCs w:val="19"/>
                <w:color w:val="auto"/>
              </w:rPr>
              <w:t>Amortized Cost</w:t>
            </w:r>
          </w:p>
        </w:tc>
        <w:tc>
          <w:tcPr>
            <w:tcW w:w="280" w:type="dxa"/>
            <w:vAlign w:val="bottom"/>
          </w:tcPr>
          <w:p>
            <w:pPr>
              <w:spacing w:after="0"/>
              <w:rPr>
                <w:sz w:val="24"/>
                <w:szCs w:val="24"/>
                <w:color w:val="auto"/>
              </w:rPr>
            </w:pPr>
          </w:p>
        </w:tc>
        <w:tc>
          <w:tcPr>
            <w:tcW w:w="1220" w:type="dxa"/>
            <w:vAlign w:val="bottom"/>
          </w:tcPr>
          <w:p>
            <w:pPr>
              <w:jc w:val="right"/>
              <w:ind w:right="265"/>
              <w:spacing w:after="0"/>
              <w:rPr>
                <w:sz w:val="20"/>
                <w:szCs w:val="20"/>
                <w:color w:val="auto"/>
              </w:rPr>
            </w:pPr>
            <w:r>
              <w:rPr>
                <w:rFonts w:ascii="Arial" w:cs="Arial" w:eastAsia="Arial" w:hAnsi="Arial"/>
                <w:sz w:val="19"/>
                <w:szCs w:val="19"/>
                <w:color w:val="auto"/>
                <w:w w:val="96"/>
              </w:rPr>
              <w:t>Fair Value</w:t>
            </w:r>
          </w:p>
        </w:tc>
      </w:tr>
      <w:tr>
        <w:trPr>
          <w:trHeight w:val="196"/>
        </w:trPr>
        <w:tc>
          <w:tcPr>
            <w:tcW w:w="3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9"/>
                <w:szCs w:val="19"/>
                <w:color w:val="auto"/>
              </w:rPr>
              <w:t>Less than 1 year:</w:t>
            </w:r>
          </w:p>
        </w:tc>
        <w:tc>
          <w:tcPr>
            <w:tcW w:w="6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r>
      <w:tr>
        <w:trPr>
          <w:trHeight w:val="216"/>
        </w:trPr>
        <w:tc>
          <w:tcPr>
            <w:tcW w:w="3980" w:type="dxa"/>
            <w:vAlign w:val="bottom"/>
          </w:tcPr>
          <w:p>
            <w:pPr>
              <w:ind w:left="360"/>
              <w:spacing w:after="0" w:line="216" w:lineRule="exact"/>
              <w:rPr>
                <w:sz w:val="20"/>
                <w:szCs w:val="20"/>
                <w:color w:val="auto"/>
              </w:rPr>
            </w:pPr>
            <w:r>
              <w:rPr>
                <w:rFonts w:ascii="Arial" w:cs="Arial" w:eastAsia="Arial" w:hAnsi="Arial"/>
                <w:sz w:val="19"/>
                <w:szCs w:val="19"/>
                <w:color w:val="auto"/>
              </w:rPr>
              <w:t>U.S. Treasuries</w:t>
            </w:r>
          </w:p>
        </w:tc>
        <w:tc>
          <w:tcPr>
            <w:tcW w:w="600" w:type="dxa"/>
            <w:vAlign w:val="bottom"/>
          </w:tcPr>
          <w:p>
            <w:pPr>
              <w:jc w:val="right"/>
              <w:ind w:right="245"/>
              <w:spacing w:after="0" w:line="216" w:lineRule="exact"/>
              <w:rPr>
                <w:sz w:val="20"/>
                <w:szCs w:val="20"/>
                <w:color w:val="auto"/>
              </w:rPr>
            </w:pPr>
            <w:r>
              <w:rPr>
                <w:rFonts w:ascii="Arial" w:cs="Arial" w:eastAsia="Arial" w:hAnsi="Arial"/>
                <w:sz w:val="19"/>
                <w:szCs w:val="19"/>
                <w:color w:val="auto"/>
              </w:rPr>
              <w:t>$</w:t>
            </w:r>
          </w:p>
        </w:tc>
        <w:tc>
          <w:tcPr>
            <w:tcW w:w="1100" w:type="dxa"/>
            <w:vAlign w:val="bottom"/>
          </w:tcPr>
          <w:p>
            <w:pPr>
              <w:jc w:val="right"/>
              <w:ind w:right="45"/>
              <w:spacing w:after="0" w:line="216" w:lineRule="exact"/>
              <w:rPr>
                <w:sz w:val="20"/>
                <w:szCs w:val="20"/>
                <w:color w:val="auto"/>
              </w:rPr>
            </w:pPr>
            <w:r>
              <w:rPr>
                <w:rFonts w:ascii="Arial" w:cs="Arial" w:eastAsia="Arial" w:hAnsi="Arial"/>
                <w:sz w:val="19"/>
                <w:szCs w:val="19"/>
                <w:color w:val="auto"/>
              </w:rPr>
              <w:t>15,325</w:t>
            </w:r>
          </w:p>
        </w:tc>
        <w:tc>
          <w:tcPr>
            <w:tcW w:w="180" w:type="dxa"/>
            <w:vAlign w:val="bottom"/>
          </w:tcPr>
          <w:p>
            <w:pPr>
              <w:spacing w:after="0"/>
              <w:rPr>
                <w:sz w:val="18"/>
                <w:szCs w:val="18"/>
                <w:color w:val="auto"/>
              </w:rPr>
            </w:pPr>
          </w:p>
        </w:tc>
        <w:tc>
          <w:tcPr>
            <w:tcW w:w="30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1380" w:type="dxa"/>
            <w:vAlign w:val="bottom"/>
          </w:tcPr>
          <w:p>
            <w:pPr>
              <w:jc w:val="right"/>
              <w:ind w:right="45"/>
              <w:spacing w:after="0" w:line="216" w:lineRule="exact"/>
              <w:rPr>
                <w:sz w:val="20"/>
                <w:szCs w:val="20"/>
                <w:color w:val="auto"/>
              </w:rPr>
            </w:pPr>
            <w:r>
              <w:rPr>
                <w:rFonts w:ascii="Arial" w:cs="Arial" w:eastAsia="Arial" w:hAnsi="Arial"/>
                <w:sz w:val="19"/>
                <w:szCs w:val="19"/>
                <w:color w:val="auto"/>
              </w:rPr>
              <w:t>15,325</w:t>
            </w:r>
          </w:p>
        </w:tc>
        <w:tc>
          <w:tcPr>
            <w:tcW w:w="180" w:type="dxa"/>
            <w:vAlign w:val="bottom"/>
          </w:tcPr>
          <w:p>
            <w:pPr>
              <w:spacing w:after="0"/>
              <w:rPr>
                <w:sz w:val="18"/>
                <w:szCs w:val="18"/>
                <w:color w:val="auto"/>
              </w:rPr>
            </w:pPr>
          </w:p>
        </w:tc>
        <w:tc>
          <w:tcPr>
            <w:tcW w:w="560" w:type="dxa"/>
            <w:vAlign w:val="bottom"/>
          </w:tcPr>
          <w:p>
            <w:pPr>
              <w:ind w:left="140"/>
              <w:spacing w:after="0" w:line="216" w:lineRule="exact"/>
              <w:rPr>
                <w:sz w:val="20"/>
                <w:szCs w:val="20"/>
                <w:color w:val="auto"/>
              </w:rPr>
            </w:pPr>
            <w:r>
              <w:rPr>
                <w:rFonts w:ascii="Arial" w:cs="Arial" w:eastAsia="Arial" w:hAnsi="Arial"/>
                <w:sz w:val="19"/>
                <w:szCs w:val="19"/>
                <w:color w:val="auto"/>
              </w:rPr>
              <w:t>$</w:t>
            </w:r>
          </w:p>
        </w:tc>
        <w:tc>
          <w:tcPr>
            <w:tcW w:w="1080" w:type="dxa"/>
            <w:vAlign w:val="bottom"/>
          </w:tcPr>
          <w:p>
            <w:pPr>
              <w:jc w:val="right"/>
              <w:ind w:right="45"/>
              <w:spacing w:after="0" w:line="216" w:lineRule="exact"/>
              <w:rPr>
                <w:sz w:val="20"/>
                <w:szCs w:val="20"/>
                <w:color w:val="auto"/>
              </w:rPr>
            </w:pPr>
            <w:r>
              <w:rPr>
                <w:rFonts w:ascii="Arial" w:cs="Arial" w:eastAsia="Arial" w:hAnsi="Arial"/>
                <w:sz w:val="19"/>
                <w:szCs w:val="19"/>
                <w:color w:val="auto"/>
              </w:rPr>
              <w:t>8,034</w:t>
            </w:r>
          </w:p>
        </w:tc>
        <w:tc>
          <w:tcPr>
            <w:tcW w:w="160" w:type="dxa"/>
            <w:vAlign w:val="bottom"/>
          </w:tcPr>
          <w:p>
            <w:pPr>
              <w:spacing w:after="0"/>
              <w:rPr>
                <w:sz w:val="18"/>
                <w:szCs w:val="18"/>
                <w:color w:val="auto"/>
              </w:rPr>
            </w:pPr>
          </w:p>
        </w:tc>
        <w:tc>
          <w:tcPr>
            <w:tcW w:w="28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1220" w:type="dxa"/>
            <w:vAlign w:val="bottom"/>
          </w:tcPr>
          <w:p>
            <w:pPr>
              <w:jc w:val="right"/>
              <w:ind w:right="25"/>
              <w:spacing w:after="0" w:line="216" w:lineRule="exact"/>
              <w:rPr>
                <w:sz w:val="20"/>
                <w:szCs w:val="20"/>
                <w:color w:val="auto"/>
              </w:rPr>
            </w:pPr>
            <w:r>
              <w:rPr>
                <w:rFonts w:ascii="Arial" w:cs="Arial" w:eastAsia="Arial" w:hAnsi="Arial"/>
                <w:sz w:val="19"/>
                <w:szCs w:val="19"/>
                <w:color w:val="auto"/>
              </w:rPr>
              <w:t>8,039</w:t>
            </w:r>
          </w:p>
        </w:tc>
      </w:tr>
      <w:tr>
        <w:trPr>
          <w:trHeight w:val="216"/>
        </w:trPr>
        <w:tc>
          <w:tcPr>
            <w:tcW w:w="3980" w:type="dxa"/>
            <w:vAlign w:val="bottom"/>
            <w:shd w:val="clear" w:color="auto" w:fill="CCEEFF"/>
          </w:tcPr>
          <w:p>
            <w:pPr>
              <w:ind w:left="360"/>
              <w:spacing w:after="0" w:line="216" w:lineRule="exact"/>
              <w:rPr>
                <w:sz w:val="20"/>
                <w:szCs w:val="20"/>
                <w:color w:val="auto"/>
              </w:rPr>
            </w:pPr>
            <w:r>
              <w:rPr>
                <w:rFonts w:ascii="Arial" w:cs="Arial" w:eastAsia="Arial" w:hAnsi="Arial"/>
                <w:sz w:val="19"/>
                <w:szCs w:val="19"/>
                <w:color w:val="auto"/>
              </w:rPr>
              <w:t>Certificates of deposit</w:t>
            </w: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5"/>
              <w:spacing w:after="0" w:line="216" w:lineRule="exact"/>
              <w:rPr>
                <w:sz w:val="20"/>
                <w:szCs w:val="20"/>
                <w:color w:val="auto"/>
              </w:rPr>
            </w:pPr>
            <w:r>
              <w:rPr>
                <w:rFonts w:ascii="Arial" w:cs="Arial" w:eastAsia="Arial" w:hAnsi="Arial"/>
                <w:sz w:val="19"/>
                <w:szCs w:val="19"/>
                <w:color w:val="auto"/>
              </w:rPr>
              <w:t>38,087</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5"/>
              <w:spacing w:after="0" w:line="216" w:lineRule="exact"/>
              <w:rPr>
                <w:sz w:val="20"/>
                <w:szCs w:val="20"/>
                <w:color w:val="auto"/>
              </w:rPr>
            </w:pPr>
            <w:r>
              <w:rPr>
                <w:rFonts w:ascii="Arial" w:cs="Arial" w:eastAsia="Arial" w:hAnsi="Arial"/>
                <w:sz w:val="19"/>
                <w:szCs w:val="19"/>
                <w:color w:val="auto"/>
              </w:rPr>
              <w:t>38,087</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5"/>
              <w:spacing w:after="0" w:line="216" w:lineRule="exact"/>
              <w:rPr>
                <w:sz w:val="20"/>
                <w:szCs w:val="20"/>
                <w:color w:val="auto"/>
              </w:rPr>
            </w:pPr>
            <w:r>
              <w:rPr>
                <w:rFonts w:ascii="Arial" w:cs="Arial" w:eastAsia="Arial" w:hAnsi="Arial"/>
                <w:sz w:val="19"/>
                <w:szCs w:val="19"/>
                <w:color w:val="auto"/>
              </w:rPr>
              <w:t>29,034</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5"/>
              <w:spacing w:after="0" w:line="216" w:lineRule="exact"/>
              <w:rPr>
                <w:sz w:val="20"/>
                <w:szCs w:val="20"/>
                <w:color w:val="auto"/>
              </w:rPr>
            </w:pPr>
            <w:r>
              <w:rPr>
                <w:rFonts w:ascii="Arial" w:cs="Arial" w:eastAsia="Arial" w:hAnsi="Arial"/>
                <w:sz w:val="19"/>
                <w:szCs w:val="19"/>
                <w:color w:val="auto"/>
              </w:rPr>
              <w:t>29,035</w:t>
            </w:r>
          </w:p>
        </w:tc>
      </w:tr>
      <w:tr>
        <w:trPr>
          <w:trHeight w:val="216"/>
        </w:trPr>
        <w:tc>
          <w:tcPr>
            <w:tcW w:w="3980" w:type="dxa"/>
            <w:vAlign w:val="bottom"/>
          </w:tcPr>
          <w:p>
            <w:pPr>
              <w:ind w:left="360"/>
              <w:spacing w:after="0" w:line="216" w:lineRule="exact"/>
              <w:rPr>
                <w:sz w:val="20"/>
                <w:szCs w:val="20"/>
                <w:color w:val="auto"/>
              </w:rPr>
            </w:pPr>
            <w:r>
              <w:rPr>
                <w:rFonts w:ascii="Arial" w:cs="Arial" w:eastAsia="Arial" w:hAnsi="Arial"/>
                <w:sz w:val="19"/>
                <w:szCs w:val="19"/>
                <w:color w:val="auto"/>
              </w:rPr>
              <w:t>Corporate bonds</w:t>
            </w:r>
          </w:p>
        </w:tc>
        <w:tc>
          <w:tcPr>
            <w:tcW w:w="600" w:type="dxa"/>
            <w:vAlign w:val="bottom"/>
          </w:tcPr>
          <w:p>
            <w:pPr>
              <w:spacing w:after="0"/>
              <w:rPr>
                <w:sz w:val="18"/>
                <w:szCs w:val="18"/>
                <w:color w:val="auto"/>
              </w:rPr>
            </w:pPr>
          </w:p>
        </w:tc>
        <w:tc>
          <w:tcPr>
            <w:tcW w:w="1100" w:type="dxa"/>
            <w:vAlign w:val="bottom"/>
          </w:tcPr>
          <w:p>
            <w:pPr>
              <w:jc w:val="right"/>
              <w:ind w:right="45"/>
              <w:spacing w:after="0" w:line="216" w:lineRule="exact"/>
              <w:rPr>
                <w:sz w:val="20"/>
                <w:szCs w:val="20"/>
                <w:color w:val="auto"/>
              </w:rPr>
            </w:pPr>
            <w:r>
              <w:rPr>
                <w:rFonts w:ascii="Arial" w:cs="Arial" w:eastAsia="Arial" w:hAnsi="Arial"/>
                <w:sz w:val="19"/>
                <w:szCs w:val="19"/>
                <w:color w:val="auto"/>
              </w:rPr>
              <w: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ind w:right="45"/>
              <w:spacing w:after="0" w:line="216" w:lineRule="exact"/>
              <w:rPr>
                <w:sz w:val="20"/>
                <w:szCs w:val="20"/>
                <w:color w:val="auto"/>
              </w:rPr>
            </w:pPr>
            <w:r>
              <w:rPr>
                <w:rFonts w:ascii="Arial" w:cs="Arial" w:eastAsia="Arial" w:hAnsi="Arial"/>
                <w:sz w:val="19"/>
                <w:szCs w:val="19"/>
                <w:color w:val="auto"/>
              </w:rPr>
              <w:t>-</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ind w:right="45"/>
              <w:spacing w:after="0" w:line="216" w:lineRule="exact"/>
              <w:rPr>
                <w:sz w:val="20"/>
                <w:szCs w:val="20"/>
                <w:color w:val="auto"/>
              </w:rPr>
            </w:pPr>
            <w:r>
              <w:rPr>
                <w:rFonts w:ascii="Arial" w:cs="Arial" w:eastAsia="Arial" w:hAnsi="Arial"/>
                <w:sz w:val="19"/>
                <w:szCs w:val="19"/>
                <w:color w:val="auto"/>
              </w:rPr>
              <w:t>2,022</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25"/>
              <w:spacing w:after="0" w:line="216" w:lineRule="exact"/>
              <w:rPr>
                <w:sz w:val="20"/>
                <w:szCs w:val="20"/>
                <w:color w:val="auto"/>
              </w:rPr>
            </w:pPr>
            <w:r>
              <w:rPr>
                <w:rFonts w:ascii="Arial" w:cs="Arial" w:eastAsia="Arial" w:hAnsi="Arial"/>
                <w:sz w:val="19"/>
                <w:szCs w:val="19"/>
                <w:color w:val="auto"/>
              </w:rPr>
              <w:t>2,022</w:t>
            </w:r>
          </w:p>
        </w:tc>
      </w:tr>
      <w:tr>
        <w:trPr>
          <w:trHeight w:val="216"/>
        </w:trPr>
        <w:tc>
          <w:tcPr>
            <w:tcW w:w="3980" w:type="dxa"/>
            <w:vAlign w:val="bottom"/>
            <w:shd w:val="clear" w:color="auto" w:fill="CCEEFF"/>
          </w:tcPr>
          <w:p>
            <w:pPr>
              <w:ind w:left="360"/>
              <w:spacing w:after="0" w:line="216" w:lineRule="exact"/>
              <w:rPr>
                <w:sz w:val="20"/>
                <w:szCs w:val="20"/>
                <w:color w:val="auto"/>
              </w:rPr>
            </w:pPr>
            <w:r>
              <w:rPr>
                <w:rFonts w:ascii="Arial" w:cs="Arial" w:eastAsia="Arial" w:hAnsi="Arial"/>
                <w:sz w:val="19"/>
                <w:szCs w:val="19"/>
                <w:color w:val="auto"/>
              </w:rPr>
              <w:t>Municipal securities</w:t>
            </w: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5"/>
              <w:spacing w:after="0" w:line="216" w:lineRule="exact"/>
              <w:rPr>
                <w:sz w:val="20"/>
                <w:szCs w:val="20"/>
                <w:color w:val="auto"/>
              </w:rPr>
            </w:pPr>
            <w:r>
              <w:rPr>
                <w:rFonts w:ascii="Arial" w:cs="Arial" w:eastAsia="Arial" w:hAnsi="Arial"/>
                <w:sz w:val="19"/>
                <w:szCs w:val="19"/>
                <w:color w:val="auto"/>
              </w:rPr>
              <w:t>343,100</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5"/>
              <w:spacing w:after="0" w:line="216" w:lineRule="exact"/>
              <w:rPr>
                <w:sz w:val="20"/>
                <w:szCs w:val="20"/>
                <w:color w:val="auto"/>
              </w:rPr>
            </w:pPr>
            <w:r>
              <w:rPr>
                <w:rFonts w:ascii="Arial" w:cs="Arial" w:eastAsia="Arial" w:hAnsi="Arial"/>
                <w:sz w:val="19"/>
                <w:szCs w:val="19"/>
                <w:color w:val="auto"/>
              </w:rPr>
              <w:t>342,976</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5"/>
              <w:spacing w:after="0" w:line="216" w:lineRule="exact"/>
              <w:rPr>
                <w:sz w:val="20"/>
                <w:szCs w:val="20"/>
                <w:color w:val="auto"/>
              </w:rPr>
            </w:pPr>
            <w:r>
              <w:rPr>
                <w:rFonts w:ascii="Arial" w:cs="Arial" w:eastAsia="Arial" w:hAnsi="Arial"/>
                <w:sz w:val="19"/>
                <w:szCs w:val="19"/>
                <w:color w:val="auto"/>
              </w:rPr>
              <w:t>284,605</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5"/>
              <w:spacing w:after="0" w:line="216" w:lineRule="exact"/>
              <w:rPr>
                <w:sz w:val="20"/>
                <w:szCs w:val="20"/>
                <w:color w:val="auto"/>
              </w:rPr>
            </w:pPr>
            <w:r>
              <w:rPr>
                <w:rFonts w:ascii="Arial" w:cs="Arial" w:eastAsia="Arial" w:hAnsi="Arial"/>
                <w:sz w:val="19"/>
                <w:szCs w:val="19"/>
                <w:color w:val="auto"/>
              </w:rPr>
              <w:t>284,541</w:t>
            </w:r>
          </w:p>
        </w:tc>
      </w:tr>
      <w:tr>
        <w:trPr>
          <w:trHeight w:val="216"/>
        </w:trPr>
        <w:tc>
          <w:tcPr>
            <w:tcW w:w="3980" w:type="dxa"/>
            <w:vAlign w:val="bottom"/>
          </w:tcPr>
          <w:p>
            <w:pPr>
              <w:ind w:left="360"/>
              <w:spacing w:after="0" w:line="216" w:lineRule="exact"/>
              <w:rPr>
                <w:sz w:val="20"/>
                <w:szCs w:val="20"/>
                <w:color w:val="auto"/>
              </w:rPr>
            </w:pPr>
            <w:r>
              <w:rPr>
                <w:rFonts w:ascii="Arial" w:cs="Arial" w:eastAsia="Arial" w:hAnsi="Arial"/>
                <w:sz w:val="19"/>
                <w:szCs w:val="19"/>
                <w:color w:val="auto"/>
              </w:rPr>
              <w:t>U.S. government agency securities</w:t>
            </w:r>
          </w:p>
        </w:tc>
        <w:tc>
          <w:tcPr>
            <w:tcW w:w="600" w:type="dxa"/>
            <w:vAlign w:val="bottom"/>
          </w:tcPr>
          <w:p>
            <w:pPr>
              <w:spacing w:after="0"/>
              <w:rPr>
                <w:sz w:val="18"/>
                <w:szCs w:val="18"/>
                <w:color w:val="auto"/>
              </w:rPr>
            </w:pPr>
          </w:p>
        </w:tc>
        <w:tc>
          <w:tcPr>
            <w:tcW w:w="1100" w:type="dxa"/>
            <w:vAlign w:val="bottom"/>
          </w:tcPr>
          <w:p>
            <w:pPr>
              <w:jc w:val="right"/>
              <w:ind w:right="45"/>
              <w:spacing w:after="0" w:line="216" w:lineRule="exact"/>
              <w:rPr>
                <w:sz w:val="20"/>
                <w:szCs w:val="20"/>
                <w:color w:val="auto"/>
              </w:rPr>
            </w:pPr>
            <w:r>
              <w:rPr>
                <w:rFonts w:ascii="Arial" w:cs="Arial" w:eastAsia="Arial" w:hAnsi="Arial"/>
                <w:sz w:val="19"/>
                <w:szCs w:val="19"/>
                <w:color w:val="auto"/>
              </w:rPr>
              <w:t>23,992</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ind w:right="45"/>
              <w:spacing w:after="0" w:line="216" w:lineRule="exact"/>
              <w:rPr>
                <w:sz w:val="20"/>
                <w:szCs w:val="20"/>
                <w:color w:val="auto"/>
              </w:rPr>
            </w:pPr>
            <w:r>
              <w:rPr>
                <w:rFonts w:ascii="Arial" w:cs="Arial" w:eastAsia="Arial" w:hAnsi="Arial"/>
                <w:sz w:val="19"/>
                <w:szCs w:val="19"/>
                <w:color w:val="auto"/>
              </w:rPr>
              <w:t>23,992</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ind w:right="45"/>
              <w:spacing w:after="0" w:line="216" w:lineRule="exact"/>
              <w:rPr>
                <w:sz w:val="20"/>
                <w:szCs w:val="20"/>
                <w:color w:val="auto"/>
              </w:rPr>
            </w:pPr>
            <w:r>
              <w:rPr>
                <w:rFonts w:ascii="Arial" w:cs="Arial" w:eastAsia="Arial" w:hAnsi="Arial"/>
                <w:sz w:val="19"/>
                <w:szCs w:val="19"/>
                <w:color w:val="auto"/>
              </w:rPr>
              <w:t>16,005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25"/>
              <w:spacing w:after="0" w:line="216" w:lineRule="exact"/>
              <w:rPr>
                <w:sz w:val="20"/>
                <w:szCs w:val="20"/>
                <w:color w:val="auto"/>
              </w:rPr>
            </w:pPr>
            <w:r>
              <w:rPr>
                <w:rFonts w:ascii="Arial" w:cs="Arial" w:eastAsia="Arial" w:hAnsi="Arial"/>
                <w:sz w:val="19"/>
                <w:szCs w:val="19"/>
                <w:color w:val="auto"/>
              </w:rPr>
              <w:t>16,007</w:t>
            </w:r>
          </w:p>
        </w:tc>
      </w:tr>
      <w:tr>
        <w:trPr>
          <w:trHeight w:val="216"/>
        </w:trPr>
        <w:tc>
          <w:tcPr>
            <w:tcW w:w="3980" w:type="dxa"/>
            <w:vAlign w:val="bottom"/>
            <w:shd w:val="clear" w:color="auto" w:fill="CCEEFF"/>
          </w:tcPr>
          <w:p>
            <w:pPr>
              <w:spacing w:after="0" w:line="216" w:lineRule="exact"/>
              <w:rPr>
                <w:sz w:val="20"/>
                <w:szCs w:val="20"/>
                <w:color w:val="auto"/>
              </w:rPr>
            </w:pPr>
            <w:r>
              <w:rPr>
                <w:rFonts w:ascii="Arial" w:cs="Arial" w:eastAsia="Arial" w:hAnsi="Arial"/>
                <w:sz w:val="19"/>
                <w:szCs w:val="19"/>
                <w:color w:val="auto"/>
              </w:rPr>
              <w:t>Due 1 - 10 years:</w:t>
            </w: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3980" w:type="dxa"/>
            <w:vAlign w:val="bottom"/>
          </w:tcPr>
          <w:p>
            <w:pPr>
              <w:ind w:left="360"/>
              <w:spacing w:after="0" w:line="216" w:lineRule="exact"/>
              <w:rPr>
                <w:sz w:val="20"/>
                <w:szCs w:val="20"/>
                <w:color w:val="auto"/>
              </w:rPr>
            </w:pPr>
            <w:r>
              <w:rPr>
                <w:rFonts w:ascii="Arial" w:cs="Arial" w:eastAsia="Arial" w:hAnsi="Arial"/>
                <w:sz w:val="19"/>
                <w:szCs w:val="19"/>
                <w:color w:val="auto"/>
              </w:rPr>
              <w:t>Variable rate demand notes</w:t>
            </w:r>
          </w:p>
        </w:tc>
        <w:tc>
          <w:tcPr>
            <w:tcW w:w="600" w:type="dxa"/>
            <w:vAlign w:val="bottom"/>
          </w:tcPr>
          <w:p>
            <w:pPr>
              <w:spacing w:after="0"/>
              <w:rPr>
                <w:sz w:val="18"/>
                <w:szCs w:val="18"/>
                <w:color w:val="auto"/>
              </w:rPr>
            </w:pPr>
          </w:p>
        </w:tc>
        <w:tc>
          <w:tcPr>
            <w:tcW w:w="1100" w:type="dxa"/>
            <w:vAlign w:val="bottom"/>
          </w:tcPr>
          <w:p>
            <w:pPr>
              <w:jc w:val="right"/>
              <w:ind w:right="45"/>
              <w:spacing w:after="0" w:line="216" w:lineRule="exact"/>
              <w:rPr>
                <w:sz w:val="20"/>
                <w:szCs w:val="20"/>
                <w:color w:val="auto"/>
              </w:rPr>
            </w:pPr>
            <w:r>
              <w:rPr>
                <w:rFonts w:ascii="Arial" w:cs="Arial" w:eastAsia="Arial" w:hAnsi="Arial"/>
                <w:sz w:val="19"/>
                <w:szCs w:val="19"/>
                <w:color w:val="auto"/>
              </w:rPr>
              <w:t>900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ind w:right="45"/>
              <w:spacing w:after="0" w:line="216" w:lineRule="exact"/>
              <w:rPr>
                <w:sz w:val="20"/>
                <w:szCs w:val="20"/>
                <w:color w:val="auto"/>
              </w:rPr>
            </w:pPr>
            <w:r>
              <w:rPr>
                <w:rFonts w:ascii="Arial" w:cs="Arial" w:eastAsia="Arial" w:hAnsi="Arial"/>
                <w:sz w:val="19"/>
                <w:szCs w:val="19"/>
                <w:color w:val="auto"/>
              </w:rPr>
              <w:t>900</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ind w:right="45"/>
              <w:spacing w:after="0" w:line="216" w:lineRule="exact"/>
              <w:rPr>
                <w:sz w:val="20"/>
                <w:szCs w:val="20"/>
                <w:color w:val="auto"/>
              </w:rPr>
            </w:pPr>
            <w:r>
              <w:rPr>
                <w:rFonts w:ascii="Arial" w:cs="Arial" w:eastAsia="Arial" w:hAnsi="Arial"/>
                <w:sz w:val="19"/>
                <w:szCs w:val="19"/>
                <w:color w:val="auto"/>
              </w:rPr>
              <w:t>5,775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25"/>
              <w:spacing w:after="0" w:line="216" w:lineRule="exact"/>
              <w:rPr>
                <w:sz w:val="20"/>
                <w:szCs w:val="20"/>
                <w:color w:val="auto"/>
              </w:rPr>
            </w:pPr>
            <w:r>
              <w:rPr>
                <w:rFonts w:ascii="Arial" w:cs="Arial" w:eastAsia="Arial" w:hAnsi="Arial"/>
                <w:sz w:val="19"/>
                <w:szCs w:val="19"/>
                <w:color w:val="auto"/>
              </w:rPr>
              <w:t>5,775</w:t>
            </w:r>
          </w:p>
        </w:tc>
      </w:tr>
      <w:tr>
        <w:trPr>
          <w:trHeight w:val="216"/>
        </w:trPr>
        <w:tc>
          <w:tcPr>
            <w:tcW w:w="3980" w:type="dxa"/>
            <w:vAlign w:val="bottom"/>
            <w:shd w:val="clear" w:color="auto" w:fill="CCEEFF"/>
          </w:tcPr>
          <w:p>
            <w:pPr>
              <w:spacing w:after="0" w:line="216" w:lineRule="exact"/>
              <w:rPr>
                <w:sz w:val="20"/>
                <w:szCs w:val="20"/>
                <w:color w:val="auto"/>
              </w:rPr>
            </w:pPr>
            <w:r>
              <w:rPr>
                <w:rFonts w:ascii="Arial" w:cs="Arial" w:eastAsia="Arial" w:hAnsi="Arial"/>
                <w:sz w:val="19"/>
                <w:szCs w:val="19"/>
                <w:color w:val="auto"/>
              </w:rPr>
              <w:t>Due 11 - 20 years:</w:t>
            </w: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3980" w:type="dxa"/>
            <w:vAlign w:val="bottom"/>
          </w:tcPr>
          <w:p>
            <w:pPr>
              <w:ind w:left="360"/>
              <w:spacing w:after="0" w:line="216" w:lineRule="exact"/>
              <w:rPr>
                <w:sz w:val="20"/>
                <w:szCs w:val="20"/>
                <w:color w:val="auto"/>
              </w:rPr>
            </w:pPr>
            <w:r>
              <w:rPr>
                <w:rFonts w:ascii="Arial" w:cs="Arial" w:eastAsia="Arial" w:hAnsi="Arial"/>
                <w:sz w:val="19"/>
                <w:szCs w:val="19"/>
                <w:color w:val="auto"/>
              </w:rPr>
              <w:t>Variable rate demand notes</w:t>
            </w:r>
          </w:p>
        </w:tc>
        <w:tc>
          <w:tcPr>
            <w:tcW w:w="600" w:type="dxa"/>
            <w:vAlign w:val="bottom"/>
          </w:tcPr>
          <w:p>
            <w:pPr>
              <w:spacing w:after="0"/>
              <w:rPr>
                <w:sz w:val="18"/>
                <w:szCs w:val="18"/>
                <w:color w:val="auto"/>
              </w:rPr>
            </w:pPr>
          </w:p>
        </w:tc>
        <w:tc>
          <w:tcPr>
            <w:tcW w:w="1100" w:type="dxa"/>
            <w:vAlign w:val="bottom"/>
          </w:tcPr>
          <w:p>
            <w:pPr>
              <w:jc w:val="right"/>
              <w:ind w:right="45"/>
              <w:spacing w:after="0" w:line="216" w:lineRule="exact"/>
              <w:rPr>
                <w:sz w:val="20"/>
                <w:szCs w:val="20"/>
                <w:color w:val="auto"/>
              </w:rPr>
            </w:pPr>
            <w:r>
              <w:rPr>
                <w:rFonts w:ascii="Arial" w:cs="Arial" w:eastAsia="Arial" w:hAnsi="Arial"/>
                <w:sz w:val="19"/>
                <w:szCs w:val="19"/>
                <w:color w:val="auto"/>
              </w:rPr>
              <w:t>6,801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ind w:right="45"/>
              <w:spacing w:after="0" w:line="216" w:lineRule="exact"/>
              <w:rPr>
                <w:sz w:val="20"/>
                <w:szCs w:val="20"/>
                <w:color w:val="auto"/>
              </w:rPr>
            </w:pPr>
            <w:r>
              <w:rPr>
                <w:rFonts w:ascii="Arial" w:cs="Arial" w:eastAsia="Arial" w:hAnsi="Arial"/>
                <w:sz w:val="19"/>
                <w:szCs w:val="19"/>
                <w:color w:val="auto"/>
              </w:rPr>
              <w:t>6,801</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ind w:right="45"/>
              <w:spacing w:after="0" w:line="216" w:lineRule="exact"/>
              <w:rPr>
                <w:sz w:val="20"/>
                <w:szCs w:val="20"/>
                <w:color w:val="auto"/>
              </w:rPr>
            </w:pPr>
            <w:r>
              <w:rPr>
                <w:rFonts w:ascii="Arial" w:cs="Arial" w:eastAsia="Arial" w:hAnsi="Arial"/>
                <w:sz w:val="19"/>
                <w:szCs w:val="19"/>
                <w:color w:val="auto"/>
              </w:rPr>
              <w:t>12,716</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25"/>
              <w:spacing w:after="0" w:line="216" w:lineRule="exact"/>
              <w:rPr>
                <w:sz w:val="20"/>
                <w:szCs w:val="20"/>
                <w:color w:val="auto"/>
              </w:rPr>
            </w:pPr>
            <w:r>
              <w:rPr>
                <w:rFonts w:ascii="Arial" w:cs="Arial" w:eastAsia="Arial" w:hAnsi="Arial"/>
                <w:sz w:val="19"/>
                <w:szCs w:val="19"/>
                <w:color w:val="auto"/>
              </w:rPr>
              <w:t>12,716</w:t>
            </w:r>
          </w:p>
        </w:tc>
      </w:tr>
      <w:tr>
        <w:trPr>
          <w:trHeight w:val="216"/>
        </w:trPr>
        <w:tc>
          <w:tcPr>
            <w:tcW w:w="3980" w:type="dxa"/>
            <w:vAlign w:val="bottom"/>
            <w:shd w:val="clear" w:color="auto" w:fill="CCEEFF"/>
          </w:tcPr>
          <w:p>
            <w:pPr>
              <w:ind w:left="360"/>
              <w:spacing w:after="0" w:line="216" w:lineRule="exact"/>
              <w:rPr>
                <w:sz w:val="20"/>
                <w:szCs w:val="20"/>
                <w:color w:val="auto"/>
              </w:rPr>
            </w:pPr>
            <w:r>
              <w:rPr>
                <w:rFonts w:ascii="Arial" w:cs="Arial" w:eastAsia="Arial" w:hAnsi="Arial"/>
                <w:sz w:val="19"/>
                <w:szCs w:val="19"/>
                <w:color w:val="auto"/>
              </w:rPr>
              <w:t>Auction rate securities</w:t>
            </w: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5"/>
              <w:spacing w:after="0" w:line="216" w:lineRule="exact"/>
              <w:rPr>
                <w:sz w:val="20"/>
                <w:szCs w:val="20"/>
                <w:color w:val="auto"/>
              </w:rPr>
            </w:pPr>
            <w:r>
              <w:rPr>
                <w:rFonts w:ascii="Arial" w:cs="Arial" w:eastAsia="Arial" w:hAnsi="Arial"/>
                <w:sz w:val="19"/>
                <w:szCs w:val="19"/>
                <w:color w:val="auto"/>
              </w:rPr>
              <w:t>4,571</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5"/>
              <w:spacing w:after="0" w:line="216" w:lineRule="exact"/>
              <w:rPr>
                <w:sz w:val="20"/>
                <w:szCs w:val="20"/>
                <w:color w:val="auto"/>
              </w:rPr>
            </w:pPr>
            <w:r>
              <w:rPr>
                <w:rFonts w:ascii="Arial" w:cs="Arial" w:eastAsia="Arial" w:hAnsi="Arial"/>
                <w:sz w:val="19"/>
                <w:szCs w:val="19"/>
                <w:color w:val="auto"/>
              </w:rPr>
              <w:t>4,571</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5"/>
              <w:spacing w:after="0" w:line="216" w:lineRule="exact"/>
              <w:rPr>
                <w:sz w:val="20"/>
                <w:szCs w:val="20"/>
                <w:color w:val="auto"/>
              </w:rPr>
            </w:pPr>
            <w:r>
              <w:rPr>
                <w:rFonts w:ascii="Arial" w:cs="Arial" w:eastAsia="Arial" w:hAnsi="Arial"/>
                <w:sz w:val="19"/>
                <w:szCs w:val="19"/>
                <w:color w:val="auto"/>
              </w:rPr>
              <w:t>5,158</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5"/>
              <w:spacing w:after="0" w:line="216" w:lineRule="exact"/>
              <w:rPr>
                <w:sz w:val="20"/>
                <w:szCs w:val="20"/>
                <w:color w:val="auto"/>
              </w:rPr>
            </w:pPr>
            <w:r>
              <w:rPr>
                <w:rFonts w:ascii="Arial" w:cs="Arial" w:eastAsia="Arial" w:hAnsi="Arial"/>
                <w:sz w:val="19"/>
                <w:szCs w:val="19"/>
                <w:color w:val="auto"/>
              </w:rPr>
              <w:t>5,158</w:t>
            </w:r>
          </w:p>
        </w:tc>
      </w:tr>
      <w:tr>
        <w:trPr>
          <w:trHeight w:val="216"/>
        </w:trPr>
        <w:tc>
          <w:tcPr>
            <w:tcW w:w="3980" w:type="dxa"/>
            <w:vAlign w:val="bottom"/>
          </w:tcPr>
          <w:p>
            <w:pPr>
              <w:spacing w:after="0" w:line="216" w:lineRule="exact"/>
              <w:rPr>
                <w:sz w:val="20"/>
                <w:szCs w:val="20"/>
                <w:color w:val="auto"/>
              </w:rPr>
            </w:pPr>
            <w:r>
              <w:rPr>
                <w:rFonts w:ascii="Arial" w:cs="Arial" w:eastAsia="Arial" w:hAnsi="Arial"/>
                <w:sz w:val="19"/>
                <w:szCs w:val="19"/>
                <w:color w:val="auto"/>
              </w:rPr>
              <w:t>Due 21 - 30 years:</w:t>
            </w: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980" w:type="dxa"/>
            <w:vAlign w:val="bottom"/>
            <w:shd w:val="clear" w:color="auto" w:fill="CCEEFF"/>
          </w:tcPr>
          <w:p>
            <w:pPr>
              <w:ind w:left="360"/>
              <w:spacing w:after="0" w:line="216" w:lineRule="exact"/>
              <w:rPr>
                <w:sz w:val="20"/>
                <w:szCs w:val="20"/>
                <w:color w:val="auto"/>
              </w:rPr>
            </w:pPr>
            <w:r>
              <w:rPr>
                <w:rFonts w:ascii="Arial" w:cs="Arial" w:eastAsia="Arial" w:hAnsi="Arial"/>
                <w:sz w:val="19"/>
                <w:szCs w:val="19"/>
                <w:color w:val="auto"/>
              </w:rPr>
              <w:t>Variable rate demand notes</w:t>
            </w: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5"/>
              <w:spacing w:after="0" w:line="216" w:lineRule="exact"/>
              <w:rPr>
                <w:sz w:val="20"/>
                <w:szCs w:val="20"/>
                <w:color w:val="auto"/>
              </w:rPr>
            </w:pPr>
            <w:r>
              <w:rPr>
                <w:rFonts w:ascii="Arial" w:cs="Arial" w:eastAsia="Arial" w:hAnsi="Arial"/>
                <w:sz w:val="19"/>
                <w:szCs w:val="19"/>
                <w:color w:val="auto"/>
              </w:rPr>
              <w:t>15,082</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5"/>
              <w:spacing w:after="0" w:line="216" w:lineRule="exact"/>
              <w:rPr>
                <w:sz w:val="20"/>
                <w:szCs w:val="20"/>
                <w:color w:val="auto"/>
              </w:rPr>
            </w:pPr>
            <w:r>
              <w:rPr>
                <w:rFonts w:ascii="Arial" w:cs="Arial" w:eastAsia="Arial" w:hAnsi="Arial"/>
                <w:sz w:val="19"/>
                <w:szCs w:val="19"/>
                <w:color w:val="auto"/>
              </w:rPr>
              <w:t>15,082</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5"/>
              <w:spacing w:after="0" w:line="216" w:lineRule="exact"/>
              <w:rPr>
                <w:sz w:val="20"/>
                <w:szCs w:val="20"/>
                <w:color w:val="auto"/>
              </w:rPr>
            </w:pPr>
            <w:r>
              <w:rPr>
                <w:rFonts w:ascii="Arial" w:cs="Arial" w:eastAsia="Arial" w:hAnsi="Arial"/>
                <w:sz w:val="19"/>
                <w:szCs w:val="19"/>
                <w:color w:val="auto"/>
              </w:rPr>
              <w:t>27,902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5"/>
              <w:spacing w:after="0" w:line="216" w:lineRule="exact"/>
              <w:rPr>
                <w:sz w:val="20"/>
                <w:szCs w:val="20"/>
                <w:color w:val="auto"/>
              </w:rPr>
            </w:pPr>
            <w:r>
              <w:rPr>
                <w:rFonts w:ascii="Arial" w:cs="Arial" w:eastAsia="Arial" w:hAnsi="Arial"/>
                <w:sz w:val="19"/>
                <w:szCs w:val="19"/>
                <w:color w:val="auto"/>
              </w:rPr>
              <w:t>27,902</w:t>
            </w:r>
          </w:p>
        </w:tc>
      </w:tr>
      <w:tr>
        <w:trPr>
          <w:trHeight w:val="216"/>
        </w:trPr>
        <w:tc>
          <w:tcPr>
            <w:tcW w:w="3980" w:type="dxa"/>
            <w:vAlign w:val="bottom"/>
          </w:tcPr>
          <w:p>
            <w:pPr>
              <w:ind w:left="360"/>
              <w:spacing w:after="0" w:line="216" w:lineRule="exact"/>
              <w:rPr>
                <w:sz w:val="20"/>
                <w:szCs w:val="20"/>
                <w:color w:val="auto"/>
              </w:rPr>
            </w:pPr>
            <w:r>
              <w:rPr>
                <w:rFonts w:ascii="Arial" w:cs="Arial" w:eastAsia="Arial" w:hAnsi="Arial"/>
                <w:sz w:val="19"/>
                <w:szCs w:val="19"/>
                <w:color w:val="auto"/>
              </w:rPr>
              <w:t>Auction rate securities</w:t>
            </w:r>
          </w:p>
        </w:tc>
        <w:tc>
          <w:tcPr>
            <w:tcW w:w="600" w:type="dxa"/>
            <w:vAlign w:val="bottom"/>
          </w:tcPr>
          <w:p>
            <w:pPr>
              <w:spacing w:after="0"/>
              <w:rPr>
                <w:sz w:val="18"/>
                <w:szCs w:val="18"/>
                <w:color w:val="auto"/>
              </w:rPr>
            </w:pPr>
          </w:p>
        </w:tc>
        <w:tc>
          <w:tcPr>
            <w:tcW w:w="1100" w:type="dxa"/>
            <w:vAlign w:val="bottom"/>
          </w:tcPr>
          <w:p>
            <w:pPr>
              <w:jc w:val="right"/>
              <w:ind w:right="45"/>
              <w:spacing w:after="0" w:line="216" w:lineRule="exact"/>
              <w:rPr>
                <w:sz w:val="20"/>
                <w:szCs w:val="20"/>
                <w:color w:val="auto"/>
              </w:rPr>
            </w:pPr>
            <w:r>
              <w:rPr>
                <w:rFonts w:ascii="Arial" w:cs="Arial" w:eastAsia="Arial" w:hAnsi="Arial"/>
                <w:sz w:val="19"/>
                <w:szCs w:val="19"/>
                <w:color w:val="auto"/>
              </w:rPr>
              <w:t>16,302</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ind w:right="45"/>
              <w:spacing w:after="0" w:line="216" w:lineRule="exact"/>
              <w:rPr>
                <w:sz w:val="20"/>
                <w:szCs w:val="20"/>
                <w:color w:val="auto"/>
              </w:rPr>
            </w:pPr>
            <w:r>
              <w:rPr>
                <w:rFonts w:ascii="Arial" w:cs="Arial" w:eastAsia="Arial" w:hAnsi="Arial"/>
                <w:sz w:val="19"/>
                <w:szCs w:val="19"/>
                <w:color w:val="auto"/>
              </w:rPr>
              <w:t>16,302</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ind w:right="45"/>
              <w:spacing w:after="0" w:line="216" w:lineRule="exact"/>
              <w:rPr>
                <w:sz w:val="20"/>
                <w:szCs w:val="20"/>
                <w:color w:val="auto"/>
              </w:rPr>
            </w:pPr>
            <w:r>
              <w:rPr>
                <w:rFonts w:ascii="Arial" w:cs="Arial" w:eastAsia="Arial" w:hAnsi="Arial"/>
                <w:sz w:val="19"/>
                <w:szCs w:val="19"/>
                <w:color w:val="auto"/>
              </w:rPr>
              <w:t>25,134</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25"/>
              <w:spacing w:after="0" w:line="216" w:lineRule="exact"/>
              <w:rPr>
                <w:sz w:val="20"/>
                <w:szCs w:val="20"/>
                <w:color w:val="auto"/>
              </w:rPr>
            </w:pPr>
            <w:r>
              <w:rPr>
                <w:rFonts w:ascii="Arial" w:cs="Arial" w:eastAsia="Arial" w:hAnsi="Arial"/>
                <w:sz w:val="19"/>
                <w:szCs w:val="19"/>
                <w:color w:val="auto"/>
              </w:rPr>
              <w:t>25,134</w:t>
            </w:r>
          </w:p>
        </w:tc>
      </w:tr>
      <w:tr>
        <w:trPr>
          <w:trHeight w:val="216"/>
        </w:trPr>
        <w:tc>
          <w:tcPr>
            <w:tcW w:w="3980" w:type="dxa"/>
            <w:vAlign w:val="bottom"/>
            <w:shd w:val="clear" w:color="auto" w:fill="CCEEFF"/>
          </w:tcPr>
          <w:p>
            <w:pPr>
              <w:spacing w:after="0" w:line="216" w:lineRule="exact"/>
              <w:rPr>
                <w:sz w:val="20"/>
                <w:szCs w:val="20"/>
                <w:color w:val="auto"/>
              </w:rPr>
            </w:pPr>
            <w:r>
              <w:rPr>
                <w:rFonts w:ascii="Arial" w:cs="Arial" w:eastAsia="Arial" w:hAnsi="Arial"/>
                <w:sz w:val="19"/>
                <w:szCs w:val="19"/>
                <w:color w:val="auto"/>
              </w:rPr>
              <w:t>Due 31 - 40 years:</w:t>
            </w: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3980" w:type="dxa"/>
            <w:vAlign w:val="bottom"/>
          </w:tcPr>
          <w:p>
            <w:pPr>
              <w:ind w:left="360"/>
              <w:spacing w:after="0" w:line="216" w:lineRule="exact"/>
              <w:rPr>
                <w:sz w:val="20"/>
                <w:szCs w:val="20"/>
                <w:color w:val="auto"/>
              </w:rPr>
            </w:pPr>
            <w:r>
              <w:rPr>
                <w:rFonts w:ascii="Arial" w:cs="Arial" w:eastAsia="Arial" w:hAnsi="Arial"/>
                <w:sz w:val="19"/>
                <w:szCs w:val="19"/>
                <w:color w:val="auto"/>
              </w:rPr>
              <w:t>Variable rate demand notes</w:t>
            </w:r>
          </w:p>
        </w:tc>
        <w:tc>
          <w:tcPr>
            <w:tcW w:w="600" w:type="dxa"/>
            <w:vAlign w:val="bottom"/>
          </w:tcPr>
          <w:p>
            <w:pPr>
              <w:spacing w:after="0"/>
              <w:rPr>
                <w:sz w:val="18"/>
                <w:szCs w:val="18"/>
                <w:color w:val="auto"/>
              </w:rPr>
            </w:pPr>
          </w:p>
        </w:tc>
        <w:tc>
          <w:tcPr>
            <w:tcW w:w="1100" w:type="dxa"/>
            <w:vAlign w:val="bottom"/>
          </w:tcPr>
          <w:p>
            <w:pPr>
              <w:jc w:val="right"/>
              <w:ind w:right="45"/>
              <w:spacing w:after="0" w:line="216" w:lineRule="exact"/>
              <w:rPr>
                <w:sz w:val="20"/>
                <w:szCs w:val="20"/>
                <w:color w:val="auto"/>
              </w:rPr>
            </w:pPr>
            <w:r>
              <w:rPr>
                <w:rFonts w:ascii="Arial" w:cs="Arial" w:eastAsia="Arial" w:hAnsi="Arial"/>
                <w:sz w:val="19"/>
                <w:szCs w:val="19"/>
                <w:color w:val="auto"/>
              </w:rPr>
              <w:t>7,776</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ind w:right="45"/>
              <w:spacing w:after="0" w:line="216" w:lineRule="exact"/>
              <w:rPr>
                <w:sz w:val="20"/>
                <w:szCs w:val="20"/>
                <w:color w:val="auto"/>
              </w:rPr>
            </w:pPr>
            <w:r>
              <w:rPr>
                <w:rFonts w:ascii="Arial" w:cs="Arial" w:eastAsia="Arial" w:hAnsi="Arial"/>
                <w:sz w:val="19"/>
                <w:szCs w:val="19"/>
                <w:color w:val="auto"/>
              </w:rPr>
              <w:t>7,776</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ind w:right="45"/>
              <w:spacing w:after="0" w:line="216" w:lineRule="exact"/>
              <w:rPr>
                <w:sz w:val="20"/>
                <w:szCs w:val="20"/>
                <w:color w:val="auto"/>
              </w:rPr>
            </w:pPr>
            <w:r>
              <w:rPr>
                <w:rFonts w:ascii="Arial" w:cs="Arial" w:eastAsia="Arial" w:hAnsi="Arial"/>
                <w:sz w:val="19"/>
                <w:szCs w:val="19"/>
                <w:color w:val="auto"/>
              </w:rPr>
              <w:t>12,532</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25"/>
              <w:spacing w:after="0" w:line="216" w:lineRule="exact"/>
              <w:rPr>
                <w:sz w:val="20"/>
                <w:szCs w:val="20"/>
                <w:color w:val="auto"/>
              </w:rPr>
            </w:pPr>
            <w:r>
              <w:rPr>
                <w:rFonts w:ascii="Arial" w:cs="Arial" w:eastAsia="Arial" w:hAnsi="Arial"/>
                <w:sz w:val="19"/>
                <w:szCs w:val="19"/>
                <w:color w:val="auto"/>
              </w:rPr>
              <w:t>12,532</w:t>
            </w:r>
          </w:p>
        </w:tc>
      </w:tr>
      <w:tr>
        <w:trPr>
          <w:trHeight w:val="216"/>
        </w:trPr>
        <w:tc>
          <w:tcPr>
            <w:tcW w:w="3980" w:type="dxa"/>
            <w:vAlign w:val="bottom"/>
            <w:shd w:val="clear" w:color="auto" w:fill="CCEEFF"/>
          </w:tcPr>
          <w:p>
            <w:pPr>
              <w:ind w:left="360"/>
              <w:spacing w:after="0" w:line="216" w:lineRule="exact"/>
              <w:rPr>
                <w:sz w:val="20"/>
                <w:szCs w:val="20"/>
                <w:color w:val="auto"/>
              </w:rPr>
            </w:pPr>
            <w:r>
              <w:rPr>
                <w:rFonts w:ascii="Arial" w:cs="Arial" w:eastAsia="Arial" w:hAnsi="Arial"/>
                <w:sz w:val="19"/>
                <w:szCs w:val="19"/>
                <w:color w:val="auto"/>
              </w:rPr>
              <w:t>Auction rate securities</w:t>
            </w:r>
          </w:p>
        </w:tc>
        <w:tc>
          <w:tcPr>
            <w:tcW w:w="6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45"/>
              <w:spacing w:after="0" w:line="216" w:lineRule="exact"/>
              <w:rPr>
                <w:sz w:val="20"/>
                <w:szCs w:val="20"/>
                <w:color w:val="auto"/>
              </w:rPr>
            </w:pPr>
            <w:r>
              <w:rPr>
                <w:rFonts w:ascii="Arial" w:cs="Arial" w:eastAsia="Arial" w:hAnsi="Arial"/>
                <w:sz w:val="19"/>
                <w:szCs w:val="19"/>
                <w:color w:val="auto"/>
              </w:rPr>
              <w:t>-</w:t>
            </w: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45"/>
              <w:spacing w:after="0" w:line="216" w:lineRule="exact"/>
              <w:rPr>
                <w:sz w:val="20"/>
                <w:szCs w:val="20"/>
                <w:color w:val="auto"/>
              </w:rPr>
            </w:pPr>
            <w:r>
              <w:rPr>
                <w:rFonts w:ascii="Arial" w:cs="Arial" w:eastAsia="Arial" w:hAnsi="Arial"/>
                <w:sz w:val="19"/>
                <w:szCs w:val="19"/>
                <w:color w:val="auto"/>
              </w:rPr>
              <w:t>-</w:t>
            </w:r>
          </w:p>
        </w:tc>
        <w:tc>
          <w:tcPr>
            <w:tcW w:w="1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45"/>
              <w:spacing w:after="0" w:line="216" w:lineRule="exact"/>
              <w:rPr>
                <w:sz w:val="20"/>
                <w:szCs w:val="20"/>
                <w:color w:val="auto"/>
              </w:rPr>
            </w:pPr>
            <w:r>
              <w:rPr>
                <w:rFonts w:ascii="Arial" w:cs="Arial" w:eastAsia="Arial" w:hAnsi="Arial"/>
                <w:sz w:val="19"/>
                <w:szCs w:val="19"/>
                <w:color w:val="auto"/>
              </w:rPr>
              <w:t>5,559</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25"/>
              <w:spacing w:after="0" w:line="216" w:lineRule="exact"/>
              <w:rPr>
                <w:sz w:val="20"/>
                <w:szCs w:val="20"/>
                <w:color w:val="auto"/>
              </w:rPr>
            </w:pPr>
            <w:r>
              <w:rPr>
                <w:rFonts w:ascii="Arial" w:cs="Arial" w:eastAsia="Arial" w:hAnsi="Arial"/>
                <w:sz w:val="19"/>
                <w:szCs w:val="19"/>
                <w:color w:val="auto"/>
              </w:rPr>
              <w:t>5,559</w:t>
            </w:r>
          </w:p>
        </w:tc>
      </w:tr>
      <w:tr>
        <w:trPr>
          <w:trHeight w:val="210"/>
        </w:trPr>
        <w:tc>
          <w:tcPr>
            <w:tcW w:w="3980" w:type="dxa"/>
            <w:vAlign w:val="bottom"/>
          </w:tcPr>
          <w:p>
            <w:pPr>
              <w:ind w:left="120"/>
              <w:spacing w:after="0" w:line="210" w:lineRule="exact"/>
              <w:rPr>
                <w:sz w:val="20"/>
                <w:szCs w:val="20"/>
                <w:color w:val="auto"/>
              </w:rPr>
            </w:pPr>
            <w:r>
              <w:rPr>
                <w:rFonts w:ascii="Arial" w:cs="Arial" w:eastAsia="Arial" w:hAnsi="Arial"/>
                <w:sz w:val="19"/>
                <w:szCs w:val="19"/>
                <w:color w:val="auto"/>
              </w:rPr>
              <w:t>Total</w:t>
            </w:r>
          </w:p>
        </w:tc>
        <w:tc>
          <w:tcPr>
            <w:tcW w:w="600" w:type="dxa"/>
            <w:vAlign w:val="bottom"/>
            <w:tcBorders>
              <w:bottom w:val="single" w:sz="8" w:color="auto"/>
            </w:tcBorders>
          </w:tcPr>
          <w:p>
            <w:pPr>
              <w:jc w:val="right"/>
              <w:ind w:right="245"/>
              <w:spacing w:after="0" w:line="210" w:lineRule="exact"/>
              <w:rPr>
                <w:sz w:val="20"/>
                <w:szCs w:val="20"/>
                <w:color w:val="auto"/>
              </w:rPr>
            </w:pPr>
            <w:r>
              <w:rPr>
                <w:rFonts w:ascii="Arial" w:cs="Arial" w:eastAsia="Arial" w:hAnsi="Arial"/>
                <w:sz w:val="19"/>
                <w:szCs w:val="19"/>
                <w:color w:val="auto"/>
              </w:rPr>
              <w:t>$</w:t>
            </w:r>
          </w:p>
        </w:tc>
        <w:tc>
          <w:tcPr>
            <w:tcW w:w="1100" w:type="dxa"/>
            <w:vAlign w:val="bottom"/>
            <w:tcBorders>
              <w:bottom w:val="single" w:sz="8" w:color="auto"/>
            </w:tcBorders>
          </w:tcPr>
          <w:p>
            <w:pPr>
              <w:jc w:val="right"/>
              <w:ind w:right="45"/>
              <w:spacing w:after="0" w:line="210" w:lineRule="exact"/>
              <w:rPr>
                <w:sz w:val="20"/>
                <w:szCs w:val="20"/>
                <w:color w:val="auto"/>
              </w:rPr>
            </w:pPr>
            <w:r>
              <w:rPr>
                <w:rFonts w:ascii="Arial" w:cs="Arial" w:eastAsia="Arial" w:hAnsi="Arial"/>
                <w:sz w:val="19"/>
                <w:szCs w:val="19"/>
                <w:color w:val="auto"/>
              </w:rPr>
              <w:t>471,936</w:t>
            </w:r>
          </w:p>
        </w:tc>
        <w:tc>
          <w:tcPr>
            <w:tcW w:w="180" w:type="dxa"/>
            <w:vAlign w:val="bottom"/>
          </w:tcPr>
          <w:p>
            <w:pPr>
              <w:spacing w:after="0"/>
              <w:rPr>
                <w:sz w:val="18"/>
                <w:szCs w:val="18"/>
                <w:color w:val="auto"/>
              </w:rPr>
            </w:pPr>
          </w:p>
        </w:tc>
        <w:tc>
          <w:tcPr>
            <w:tcW w:w="30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w:t>
            </w:r>
          </w:p>
        </w:tc>
        <w:tc>
          <w:tcPr>
            <w:tcW w:w="1380" w:type="dxa"/>
            <w:vAlign w:val="bottom"/>
            <w:tcBorders>
              <w:bottom w:val="single" w:sz="8" w:color="auto"/>
            </w:tcBorders>
          </w:tcPr>
          <w:p>
            <w:pPr>
              <w:jc w:val="right"/>
              <w:ind w:right="45"/>
              <w:spacing w:after="0" w:line="210" w:lineRule="exact"/>
              <w:rPr>
                <w:sz w:val="20"/>
                <w:szCs w:val="20"/>
                <w:color w:val="auto"/>
              </w:rPr>
            </w:pPr>
            <w:r>
              <w:rPr>
                <w:rFonts w:ascii="Arial" w:cs="Arial" w:eastAsia="Arial" w:hAnsi="Arial"/>
                <w:sz w:val="19"/>
                <w:szCs w:val="19"/>
                <w:color w:val="auto"/>
              </w:rPr>
              <w:t>471,812</w:t>
            </w:r>
          </w:p>
        </w:tc>
        <w:tc>
          <w:tcPr>
            <w:tcW w:w="180" w:type="dxa"/>
            <w:vAlign w:val="bottom"/>
          </w:tcPr>
          <w:p>
            <w:pPr>
              <w:spacing w:after="0"/>
              <w:rPr>
                <w:sz w:val="18"/>
                <w:szCs w:val="18"/>
                <w:color w:val="auto"/>
              </w:rPr>
            </w:pPr>
          </w:p>
        </w:tc>
        <w:tc>
          <w:tcPr>
            <w:tcW w:w="560" w:type="dxa"/>
            <w:vAlign w:val="bottom"/>
            <w:tcBorders>
              <w:bottom w:val="single" w:sz="8" w:color="auto"/>
            </w:tcBorders>
          </w:tcPr>
          <w:p>
            <w:pPr>
              <w:ind w:left="140"/>
              <w:spacing w:after="0" w:line="210" w:lineRule="exact"/>
              <w:rPr>
                <w:sz w:val="20"/>
                <w:szCs w:val="20"/>
                <w:color w:val="auto"/>
              </w:rPr>
            </w:pPr>
            <w:r>
              <w:rPr>
                <w:rFonts w:ascii="Arial" w:cs="Arial" w:eastAsia="Arial" w:hAnsi="Arial"/>
                <w:sz w:val="19"/>
                <w:szCs w:val="19"/>
                <w:color w:val="auto"/>
              </w:rPr>
              <w:t>$</w:t>
            </w:r>
          </w:p>
        </w:tc>
        <w:tc>
          <w:tcPr>
            <w:tcW w:w="1080" w:type="dxa"/>
            <w:vAlign w:val="bottom"/>
            <w:tcBorders>
              <w:bottom w:val="single" w:sz="8" w:color="auto"/>
            </w:tcBorders>
          </w:tcPr>
          <w:p>
            <w:pPr>
              <w:jc w:val="right"/>
              <w:ind w:right="45"/>
              <w:spacing w:after="0" w:line="210" w:lineRule="exact"/>
              <w:rPr>
                <w:sz w:val="20"/>
                <w:szCs w:val="20"/>
                <w:color w:val="auto"/>
              </w:rPr>
            </w:pPr>
            <w:r>
              <w:rPr>
                <w:rFonts w:ascii="Arial" w:cs="Arial" w:eastAsia="Arial" w:hAnsi="Arial"/>
                <w:sz w:val="19"/>
                <w:szCs w:val="19"/>
                <w:color w:val="auto"/>
              </w:rPr>
              <w:t>434,476</w:t>
            </w: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w:t>
            </w:r>
          </w:p>
        </w:tc>
        <w:tc>
          <w:tcPr>
            <w:tcW w:w="1220" w:type="dxa"/>
            <w:vAlign w:val="bottom"/>
            <w:tcBorders>
              <w:bottom w:val="single" w:sz="8" w:color="auto"/>
            </w:tcBorders>
          </w:tcPr>
          <w:p>
            <w:pPr>
              <w:jc w:val="right"/>
              <w:ind w:right="25"/>
              <w:spacing w:after="0" w:line="210" w:lineRule="exact"/>
              <w:rPr>
                <w:sz w:val="20"/>
                <w:szCs w:val="20"/>
                <w:color w:val="auto"/>
              </w:rPr>
            </w:pPr>
            <w:r>
              <w:rPr>
                <w:rFonts w:ascii="Arial" w:cs="Arial" w:eastAsia="Arial" w:hAnsi="Arial"/>
                <w:sz w:val="19"/>
                <w:szCs w:val="19"/>
                <w:color w:val="auto"/>
              </w:rPr>
              <w:t>434,420</w:t>
            </w:r>
          </w:p>
        </w:tc>
      </w:tr>
      <w:tr>
        <w:trPr>
          <w:trHeight w:val="20"/>
        </w:trPr>
        <w:tc>
          <w:tcPr>
            <w:tcW w:w="39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ind w:left="660" w:hanging="652"/>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FAIR VALUE OF CERTAIN FINANCIAL ASSETS AND LIABILITIES</w:t>
      </w:r>
    </w:p>
    <w:p>
      <w:pPr>
        <w:sectPr>
          <w:pgSz w:w="11900" w:h="16838" w:orient="portrait"/>
          <w:cols w:equalWidth="0" w:num="1">
            <w:col w:w="11420"/>
          </w:cols>
          <w:pgMar w:left="240" w:top="125" w:right="239" w:bottom="182" w:gutter="0" w:footer="0" w:header="0"/>
        </w:sectPr>
      </w:pPr>
    </w:p>
    <w:bookmarkStart w:id="7" w:name="page8"/>
    <w:bookmarkEnd w:id="7"/>
    <w:p>
      <w:pPr>
        <w:spacing w:after="0" w:line="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Accounting Standards Codification (“ASC”) 820 provides a framework for measuring fair value and requires expanded disclosures regarding fair value measurements. ASC 820 defines fair value as the price that would be received to sell an asset or paid to transfer a liability in an orderly transaction between market participants at the measurement date. ASC 820 also establishes a fair value hierarchy which requires an entity to maximize the use of observable inputs, where available. The three levels of inputs required by the standard that the Company uses to measure fair value are summarized below.</w:t>
      </w:r>
    </w:p>
    <w:p>
      <w:pPr>
        <w:spacing w:after="0" w:line="169" w:lineRule="exact"/>
        <w:rPr>
          <w:sz w:val="20"/>
          <w:szCs w:val="20"/>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22"/>
          <w:szCs w:val="22"/>
          <w:b w:val="1"/>
          <w:bCs w:val="1"/>
          <w:color w:val="auto"/>
        </w:rPr>
        <w:t xml:space="preserve">Level 1: </w:t>
      </w:r>
      <w:r>
        <w:rPr>
          <w:rFonts w:ascii="Arial" w:cs="Arial" w:eastAsia="Arial" w:hAnsi="Arial"/>
          <w:sz w:val="22"/>
          <w:szCs w:val="22"/>
          <w:color w:val="auto"/>
        </w:rPr>
        <w:t>Quoted prices in active markets for identical assets or liabilities.</w:t>
      </w:r>
    </w:p>
    <w:p>
      <w:pPr>
        <w:spacing w:after="0" w:line="233" w:lineRule="exact"/>
        <w:rPr>
          <w:rFonts w:ascii="Arial" w:cs="Arial" w:eastAsia="Arial" w:hAnsi="Arial"/>
          <w:sz w:val="18"/>
          <w:szCs w:val="18"/>
          <w:color w:val="auto"/>
        </w:rPr>
      </w:pPr>
    </w:p>
    <w:p>
      <w:pPr>
        <w:jc w:val="both"/>
        <w:ind w:left="660" w:hanging="328"/>
        <w:spacing w:after="0" w:line="243" w:lineRule="auto"/>
        <w:tabs>
          <w:tab w:leader="none" w:pos="705" w:val="left"/>
        </w:tabs>
        <w:numPr>
          <w:ilvl w:val="0"/>
          <w:numId w:val="5"/>
        </w:numPr>
        <w:rPr>
          <w:rFonts w:ascii="Arial" w:cs="Arial" w:eastAsia="Arial" w:hAnsi="Arial"/>
          <w:sz w:val="18"/>
          <w:szCs w:val="18"/>
          <w:color w:val="auto"/>
        </w:rPr>
      </w:pPr>
      <w:r>
        <w:rPr>
          <w:rFonts w:ascii="Arial" w:cs="Arial" w:eastAsia="Arial" w:hAnsi="Arial"/>
          <w:sz w:val="22"/>
          <w:szCs w:val="22"/>
          <w:b w:val="1"/>
          <w:bCs w:val="1"/>
          <w:color w:val="auto"/>
        </w:rPr>
        <w:t xml:space="preserve">Level 2: </w:t>
      </w:r>
      <w:r>
        <w:rPr>
          <w:rFonts w:ascii="Arial" w:cs="Arial" w:eastAsia="Arial" w:hAnsi="Arial"/>
          <w:sz w:val="22"/>
          <w:szCs w:val="22"/>
          <w:color w:val="auto"/>
        </w:rPr>
        <w:t>Observable inputs other than Level 1 prices, such as quoted prices for similar assets or liabilities; quoted prices in</w:t>
      </w:r>
      <w:r>
        <w:rPr>
          <w:rFonts w:ascii="Arial" w:cs="Arial" w:eastAsia="Arial" w:hAnsi="Arial"/>
          <w:sz w:val="22"/>
          <w:szCs w:val="22"/>
          <w:b w:val="1"/>
          <w:bCs w:val="1"/>
          <w:color w:val="auto"/>
        </w:rPr>
        <w:t xml:space="preserve"> </w:t>
      </w:r>
      <w:r>
        <w:rPr>
          <w:rFonts w:ascii="Arial" w:cs="Arial" w:eastAsia="Arial" w:hAnsi="Arial"/>
          <w:sz w:val="22"/>
          <w:szCs w:val="22"/>
          <w:color w:val="auto"/>
        </w:rPr>
        <w:t>markets that are not active; or other inputs that are observable or can be corroborated by observable market data for substantially the full term of the related assets or liabilities.</w:t>
      </w:r>
    </w:p>
    <w:p>
      <w:pPr>
        <w:spacing w:after="0" w:line="203" w:lineRule="exact"/>
        <w:rPr>
          <w:rFonts w:ascii="Arial" w:cs="Arial" w:eastAsia="Arial" w:hAnsi="Arial"/>
          <w:sz w:val="18"/>
          <w:szCs w:val="18"/>
          <w:color w:val="auto"/>
        </w:rPr>
      </w:pPr>
    </w:p>
    <w:p>
      <w:pPr>
        <w:ind w:left="660" w:hanging="328"/>
        <w:spacing w:after="0" w:line="256" w:lineRule="auto"/>
        <w:tabs>
          <w:tab w:leader="none" w:pos="638" w:val="left"/>
        </w:tabs>
        <w:numPr>
          <w:ilvl w:val="0"/>
          <w:numId w:val="5"/>
        </w:numPr>
        <w:rPr>
          <w:rFonts w:ascii="Arial" w:cs="Arial" w:eastAsia="Arial" w:hAnsi="Arial"/>
          <w:sz w:val="18"/>
          <w:szCs w:val="18"/>
          <w:color w:val="auto"/>
        </w:rPr>
      </w:pPr>
      <w:r>
        <w:rPr>
          <w:rFonts w:ascii="Arial" w:cs="Arial" w:eastAsia="Arial" w:hAnsi="Arial"/>
          <w:sz w:val="22"/>
          <w:szCs w:val="22"/>
          <w:b w:val="1"/>
          <w:bCs w:val="1"/>
          <w:color w:val="auto"/>
        </w:rPr>
        <w:t xml:space="preserve">Level 3: </w:t>
      </w:r>
      <w:r>
        <w:rPr>
          <w:rFonts w:ascii="Arial" w:cs="Arial" w:eastAsia="Arial" w:hAnsi="Arial"/>
          <w:sz w:val="22"/>
          <w:szCs w:val="22"/>
          <w:color w:val="auto"/>
        </w:rPr>
        <w:t>Unobservable inputs that are supported by little or no market activity and that are significant to the fair value of the</w:t>
      </w:r>
      <w:r>
        <w:rPr>
          <w:rFonts w:ascii="Arial" w:cs="Arial" w:eastAsia="Arial" w:hAnsi="Arial"/>
          <w:sz w:val="22"/>
          <w:szCs w:val="22"/>
          <w:b w:val="1"/>
          <w:bCs w:val="1"/>
          <w:color w:val="auto"/>
        </w:rPr>
        <w:t xml:space="preserve"> </w:t>
      </w:r>
      <w:r>
        <w:rPr>
          <w:rFonts w:ascii="Arial" w:cs="Arial" w:eastAsia="Arial" w:hAnsi="Arial"/>
          <w:sz w:val="22"/>
          <w:szCs w:val="22"/>
          <w:color w:val="auto"/>
        </w:rPr>
        <w:t>assets or liabilities.</w:t>
      </w:r>
    </w:p>
    <w:p>
      <w:pPr>
        <w:spacing w:after="0" w:line="19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ASC 820 requires the use of observable market inputs (quoted market prices) when measuring fair value and requires a Level 1 quoted price to be used to measure fair value whenever possible.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4"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following tables present the Company’s held-to-maturity investments at amortized cost as well as the fair value of the Company’s financial assets that are recorded at fair value on a recurring basis, segregated among the appropriate levels within the fair value hierarchy at: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360" w:type="dxa"/>
            <w:vAlign w:val="bottom"/>
            <w:gridSpan w:val="2"/>
          </w:tcPr>
          <w:p>
            <w:pPr>
              <w:spacing w:after="0"/>
              <w:rPr>
                <w:sz w:val="20"/>
                <w:szCs w:val="20"/>
                <w:color w:val="auto"/>
              </w:rPr>
            </w:pPr>
            <w:r>
              <w:rPr>
                <w:rFonts w:ascii="Arial" w:cs="Arial" w:eastAsia="Arial" w:hAnsi="Arial"/>
                <w:sz w:val="20"/>
                <w:szCs w:val="20"/>
                <w:color w:val="auto"/>
              </w:rPr>
              <w:t>June 30, 2012</w:t>
            </w:r>
          </w:p>
        </w:tc>
        <w:tc>
          <w:tcPr>
            <w:tcW w:w="320" w:type="dxa"/>
            <w:vAlign w:val="bottom"/>
          </w:tcPr>
          <w:p>
            <w:pPr>
              <w:spacing w:after="0"/>
              <w:rPr>
                <w:sz w:val="21"/>
                <w:szCs w:val="21"/>
                <w:color w:val="auto"/>
              </w:rPr>
            </w:pPr>
          </w:p>
        </w:tc>
        <w:tc>
          <w:tcPr>
            <w:tcW w:w="1100" w:type="dxa"/>
            <w:vAlign w:val="bottom"/>
          </w:tcPr>
          <w:p>
            <w:pPr>
              <w:jc w:val="right"/>
              <w:ind w:right="301"/>
              <w:spacing w:after="0"/>
              <w:rPr>
                <w:sz w:val="20"/>
                <w:szCs w:val="20"/>
                <w:color w:val="auto"/>
              </w:rPr>
            </w:pPr>
            <w:r>
              <w:rPr>
                <w:rFonts w:ascii="Arial" w:cs="Arial" w:eastAsia="Arial" w:hAnsi="Arial"/>
                <w:sz w:val="20"/>
                <w:szCs w:val="20"/>
                <w:color w:val="auto"/>
              </w:rPr>
              <w:t>Level 1</w:t>
            </w:r>
          </w:p>
        </w:tc>
        <w:tc>
          <w:tcPr>
            <w:tcW w:w="360" w:type="dxa"/>
            <w:vAlign w:val="bottom"/>
          </w:tcPr>
          <w:p>
            <w:pPr>
              <w:spacing w:after="0"/>
              <w:rPr>
                <w:sz w:val="21"/>
                <w:szCs w:val="21"/>
                <w:color w:val="auto"/>
              </w:rPr>
            </w:pPr>
          </w:p>
        </w:tc>
        <w:tc>
          <w:tcPr>
            <w:tcW w:w="1180" w:type="dxa"/>
            <w:vAlign w:val="bottom"/>
          </w:tcPr>
          <w:p>
            <w:pPr>
              <w:jc w:val="right"/>
              <w:ind w:right="361"/>
              <w:spacing w:after="0"/>
              <w:rPr>
                <w:sz w:val="20"/>
                <w:szCs w:val="20"/>
                <w:color w:val="auto"/>
              </w:rPr>
            </w:pPr>
            <w:r>
              <w:rPr>
                <w:rFonts w:ascii="Arial" w:cs="Arial" w:eastAsia="Arial" w:hAnsi="Arial"/>
                <w:sz w:val="20"/>
                <w:szCs w:val="20"/>
                <w:color w:val="auto"/>
              </w:rPr>
              <w:t>Level 2</w:t>
            </w:r>
          </w:p>
        </w:tc>
        <w:tc>
          <w:tcPr>
            <w:tcW w:w="360" w:type="dxa"/>
            <w:vAlign w:val="bottom"/>
          </w:tcPr>
          <w:p>
            <w:pPr>
              <w:spacing w:after="0"/>
              <w:rPr>
                <w:sz w:val="21"/>
                <w:szCs w:val="21"/>
                <w:color w:val="auto"/>
              </w:rPr>
            </w:pPr>
          </w:p>
        </w:tc>
        <w:tc>
          <w:tcPr>
            <w:tcW w:w="1180" w:type="dxa"/>
            <w:vAlign w:val="bottom"/>
          </w:tcPr>
          <w:p>
            <w:pPr>
              <w:jc w:val="right"/>
              <w:ind w:right="361"/>
              <w:spacing w:after="0"/>
              <w:rPr>
                <w:sz w:val="20"/>
                <w:szCs w:val="20"/>
                <w:color w:val="auto"/>
              </w:rPr>
            </w:pPr>
            <w:r>
              <w:rPr>
                <w:rFonts w:ascii="Arial" w:cs="Arial" w:eastAsia="Arial" w:hAnsi="Arial"/>
                <w:sz w:val="20"/>
                <w:szCs w:val="20"/>
                <w:color w:val="auto"/>
              </w:rPr>
              <w:t>Level 3</w:t>
            </w:r>
          </w:p>
        </w:tc>
        <w:tc>
          <w:tcPr>
            <w:tcW w:w="420" w:type="dxa"/>
            <w:vAlign w:val="bottom"/>
          </w:tcPr>
          <w:p>
            <w:pPr>
              <w:spacing w:after="0"/>
              <w:rPr>
                <w:sz w:val="21"/>
                <w:szCs w:val="21"/>
                <w:color w:val="auto"/>
              </w:rPr>
            </w:pPr>
          </w:p>
        </w:tc>
        <w:tc>
          <w:tcPr>
            <w:tcW w:w="1140" w:type="dxa"/>
            <w:vAlign w:val="bottom"/>
          </w:tcPr>
          <w:p>
            <w:pPr>
              <w:jc w:val="right"/>
              <w:ind w:right="461"/>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Borders>
              <w:top w:val="single" w:sz="8" w:color="auto"/>
            </w:tcBorders>
            <w:shd w:val="clear" w:color="auto" w:fill="CCEEFF"/>
          </w:tcPr>
          <w:p>
            <w:pPr>
              <w:spacing w:after="0" w:line="223" w:lineRule="exact"/>
              <w:rPr>
                <w:sz w:val="20"/>
                <w:szCs w:val="20"/>
                <w:color w:val="auto"/>
              </w:rPr>
            </w:pPr>
            <w:r>
              <w:rPr>
                <w:rFonts w:ascii="Arial" w:cs="Arial" w:eastAsia="Arial" w:hAnsi="Arial"/>
                <w:sz w:val="20"/>
                <w:szCs w:val="20"/>
                <w:color w:val="auto"/>
              </w:rPr>
              <w:t>Cash</w:t>
            </w:r>
          </w:p>
        </w:tc>
        <w:tc>
          <w:tcPr>
            <w:tcW w:w="32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1100" w:type="dxa"/>
            <w:vAlign w:val="bottom"/>
            <w:tcBorders>
              <w:top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67,428</w:t>
            </w:r>
          </w:p>
        </w:tc>
        <w:tc>
          <w:tcPr>
            <w:tcW w:w="360" w:type="dxa"/>
            <w:vAlign w:val="bottom"/>
            <w:tcBorders>
              <w:top w:val="single" w:sz="8" w:color="auto"/>
            </w:tcBorders>
            <w:shd w:val="clear" w:color="auto" w:fill="CCEEFF"/>
          </w:tcPr>
          <w:p>
            <w:pPr>
              <w:jc w:val="right"/>
              <w:ind w:right="1"/>
              <w:spacing w:after="0" w:line="223" w:lineRule="exact"/>
              <w:rPr>
                <w:sz w:val="20"/>
                <w:szCs w:val="20"/>
                <w:color w:val="auto"/>
              </w:rPr>
            </w:pPr>
            <w:r>
              <w:rPr>
                <w:rFonts w:ascii="Arial" w:cs="Arial" w:eastAsia="Arial" w:hAnsi="Arial"/>
                <w:sz w:val="20"/>
                <w:szCs w:val="20"/>
                <w:color w:val="auto"/>
              </w:rPr>
              <w:t>$</w:t>
            </w:r>
          </w:p>
        </w:tc>
        <w:tc>
          <w:tcPr>
            <w:tcW w:w="1180" w:type="dxa"/>
            <w:vAlign w:val="bottom"/>
            <w:tcBorders>
              <w:top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360" w:type="dxa"/>
            <w:vAlign w:val="bottom"/>
            <w:tcBorders>
              <w:top w:val="single" w:sz="8" w:color="auto"/>
            </w:tcBorders>
            <w:shd w:val="clear" w:color="auto" w:fill="CCEEFF"/>
          </w:tcPr>
          <w:p>
            <w:pPr>
              <w:jc w:val="right"/>
              <w:ind w:right="1"/>
              <w:spacing w:after="0" w:line="223" w:lineRule="exact"/>
              <w:rPr>
                <w:sz w:val="20"/>
                <w:szCs w:val="20"/>
                <w:color w:val="auto"/>
              </w:rPr>
            </w:pPr>
            <w:r>
              <w:rPr>
                <w:rFonts w:ascii="Arial" w:cs="Arial" w:eastAsia="Arial" w:hAnsi="Arial"/>
                <w:sz w:val="20"/>
                <w:szCs w:val="20"/>
                <w:color w:val="auto"/>
              </w:rPr>
              <w:t>$</w:t>
            </w:r>
          </w:p>
        </w:tc>
        <w:tc>
          <w:tcPr>
            <w:tcW w:w="1180" w:type="dxa"/>
            <w:vAlign w:val="bottom"/>
            <w:tcBorders>
              <w:top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420" w:type="dxa"/>
            <w:vAlign w:val="bottom"/>
            <w:tcBorders>
              <w:top w:val="single" w:sz="8" w:color="auto"/>
            </w:tcBorders>
            <w:shd w:val="clear" w:color="auto" w:fill="CCEEFF"/>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140" w:type="dxa"/>
            <w:vAlign w:val="bottom"/>
            <w:tcBorders>
              <w:top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67,428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20"/>
                <w:szCs w:val="20"/>
                <w:color w:val="auto"/>
              </w:rPr>
              <w:t>Money market funds</w:t>
            </w:r>
          </w:p>
        </w:tc>
        <w:tc>
          <w:tcPr>
            <w:tcW w:w="32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Arial" w:cs="Arial" w:eastAsia="Arial" w:hAnsi="Arial"/>
                <w:sz w:val="20"/>
                <w:szCs w:val="20"/>
                <w:color w:val="auto"/>
              </w:rPr>
              <w:t>285,198</w:t>
            </w:r>
          </w:p>
        </w:tc>
        <w:tc>
          <w:tcPr>
            <w:tcW w:w="360" w:type="dxa"/>
            <w:vAlign w:val="bottom"/>
          </w:tcPr>
          <w:p>
            <w:pPr>
              <w:spacing w:after="0"/>
              <w:rPr>
                <w:sz w:val="19"/>
                <w:szCs w:val="19"/>
                <w:color w:val="auto"/>
              </w:rPr>
            </w:pPr>
          </w:p>
        </w:tc>
        <w:tc>
          <w:tcPr>
            <w:tcW w:w="11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1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140" w:type="dxa"/>
            <w:vAlign w:val="bottom"/>
          </w:tcPr>
          <w:p>
            <w:pPr>
              <w:jc w:val="right"/>
              <w:ind w:right="41"/>
              <w:spacing w:after="0"/>
              <w:rPr>
                <w:sz w:val="20"/>
                <w:szCs w:val="20"/>
                <w:color w:val="auto"/>
              </w:rPr>
            </w:pPr>
            <w:r>
              <w:rPr>
                <w:rFonts w:ascii="Arial" w:cs="Arial" w:eastAsia="Arial" w:hAnsi="Arial"/>
                <w:sz w:val="20"/>
                <w:szCs w:val="20"/>
                <w:color w:val="auto"/>
              </w:rPr>
              <w:t>285,198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20"/>
                <w:szCs w:val="20"/>
                <w:color w:val="auto"/>
              </w:rPr>
              <w:t>U.S. Treasuries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15,325</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15,325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20"/>
                <w:szCs w:val="20"/>
                <w:color w:val="auto"/>
              </w:rPr>
              <w:t>Certificates of deposit</w:t>
            </w:r>
          </w:p>
        </w:tc>
        <w:tc>
          <w:tcPr>
            <w:tcW w:w="32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180" w:type="dxa"/>
            <w:vAlign w:val="bottom"/>
          </w:tcPr>
          <w:p>
            <w:pPr>
              <w:jc w:val="right"/>
              <w:ind w:right="41"/>
              <w:spacing w:after="0"/>
              <w:rPr>
                <w:sz w:val="20"/>
                <w:szCs w:val="20"/>
                <w:color w:val="auto"/>
              </w:rPr>
            </w:pPr>
            <w:r>
              <w:rPr>
                <w:rFonts w:ascii="Arial" w:cs="Arial" w:eastAsia="Arial" w:hAnsi="Arial"/>
                <w:sz w:val="20"/>
                <w:szCs w:val="20"/>
                <w:color w:val="auto"/>
              </w:rPr>
              <w:t>63,282</w:t>
            </w:r>
          </w:p>
        </w:tc>
        <w:tc>
          <w:tcPr>
            <w:tcW w:w="360" w:type="dxa"/>
            <w:vAlign w:val="bottom"/>
          </w:tcPr>
          <w:p>
            <w:pPr>
              <w:spacing w:after="0"/>
              <w:rPr>
                <w:sz w:val="19"/>
                <w:szCs w:val="19"/>
                <w:color w:val="auto"/>
              </w:rPr>
            </w:pPr>
          </w:p>
        </w:tc>
        <w:tc>
          <w:tcPr>
            <w:tcW w:w="11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140" w:type="dxa"/>
            <w:vAlign w:val="bottom"/>
          </w:tcPr>
          <w:p>
            <w:pPr>
              <w:jc w:val="right"/>
              <w:ind w:right="41"/>
              <w:spacing w:after="0"/>
              <w:rPr>
                <w:sz w:val="20"/>
                <w:szCs w:val="20"/>
                <w:color w:val="auto"/>
              </w:rPr>
            </w:pPr>
            <w:r>
              <w:rPr>
                <w:rFonts w:ascii="Arial" w:cs="Arial" w:eastAsia="Arial" w:hAnsi="Arial"/>
                <w:sz w:val="20"/>
                <w:szCs w:val="20"/>
                <w:color w:val="auto"/>
              </w:rPr>
              <w:t>63,282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20"/>
                <w:szCs w:val="20"/>
                <w:color w:val="auto"/>
              </w:rPr>
              <w:t>Municipal securities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384,446</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384,446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20"/>
                <w:szCs w:val="20"/>
                <w:color w:val="auto"/>
              </w:rPr>
              <w:t>U.S. government agency securities</w:t>
            </w:r>
          </w:p>
        </w:tc>
        <w:tc>
          <w:tcPr>
            <w:tcW w:w="32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180" w:type="dxa"/>
            <w:vAlign w:val="bottom"/>
          </w:tcPr>
          <w:p>
            <w:pPr>
              <w:jc w:val="right"/>
              <w:ind w:right="41"/>
              <w:spacing w:after="0"/>
              <w:rPr>
                <w:sz w:val="20"/>
                <w:szCs w:val="20"/>
                <w:color w:val="auto"/>
              </w:rPr>
            </w:pPr>
            <w:r>
              <w:rPr>
                <w:rFonts w:ascii="Arial" w:cs="Arial" w:eastAsia="Arial" w:hAnsi="Arial"/>
                <w:sz w:val="20"/>
                <w:szCs w:val="20"/>
                <w:color w:val="auto"/>
              </w:rPr>
              <w:t>23,992</w:t>
            </w:r>
          </w:p>
        </w:tc>
        <w:tc>
          <w:tcPr>
            <w:tcW w:w="360" w:type="dxa"/>
            <w:vAlign w:val="bottom"/>
          </w:tcPr>
          <w:p>
            <w:pPr>
              <w:spacing w:after="0"/>
              <w:rPr>
                <w:sz w:val="19"/>
                <w:szCs w:val="19"/>
                <w:color w:val="auto"/>
              </w:rPr>
            </w:pPr>
          </w:p>
        </w:tc>
        <w:tc>
          <w:tcPr>
            <w:tcW w:w="11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140" w:type="dxa"/>
            <w:vAlign w:val="bottom"/>
          </w:tcPr>
          <w:p>
            <w:pPr>
              <w:jc w:val="right"/>
              <w:ind w:right="41"/>
              <w:spacing w:after="0"/>
              <w:rPr>
                <w:sz w:val="20"/>
                <w:szCs w:val="20"/>
                <w:color w:val="auto"/>
              </w:rPr>
            </w:pPr>
            <w:r>
              <w:rPr>
                <w:rFonts w:ascii="Arial" w:cs="Arial" w:eastAsia="Arial" w:hAnsi="Arial"/>
                <w:sz w:val="20"/>
                <w:szCs w:val="20"/>
                <w:color w:val="auto"/>
              </w:rPr>
              <w:t>23,992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20"/>
                <w:szCs w:val="20"/>
                <w:color w:val="auto"/>
              </w:rPr>
              <w:t>Variable rate demand notes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30,559</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30,559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20"/>
                <w:szCs w:val="20"/>
                <w:color w:val="auto"/>
              </w:rPr>
              <w:t>Auction rate securities</w:t>
            </w:r>
          </w:p>
        </w:tc>
        <w:tc>
          <w:tcPr>
            <w:tcW w:w="32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1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180" w:type="dxa"/>
            <w:vAlign w:val="bottom"/>
          </w:tcPr>
          <w:p>
            <w:pPr>
              <w:jc w:val="right"/>
              <w:ind w:right="41"/>
              <w:spacing w:after="0"/>
              <w:rPr>
                <w:sz w:val="20"/>
                <w:szCs w:val="20"/>
                <w:color w:val="auto"/>
              </w:rPr>
            </w:pPr>
            <w:r>
              <w:rPr>
                <w:rFonts w:ascii="Arial" w:cs="Arial" w:eastAsia="Arial" w:hAnsi="Arial"/>
                <w:sz w:val="20"/>
                <w:szCs w:val="20"/>
                <w:color w:val="auto"/>
              </w:rPr>
              <w:t>20,873</w:t>
            </w:r>
          </w:p>
        </w:tc>
        <w:tc>
          <w:tcPr>
            <w:tcW w:w="420" w:type="dxa"/>
            <w:vAlign w:val="bottom"/>
          </w:tcPr>
          <w:p>
            <w:pPr>
              <w:spacing w:after="0"/>
              <w:rPr>
                <w:sz w:val="19"/>
                <w:szCs w:val="19"/>
                <w:color w:val="auto"/>
              </w:rPr>
            </w:pPr>
          </w:p>
        </w:tc>
        <w:tc>
          <w:tcPr>
            <w:tcW w:w="1140" w:type="dxa"/>
            <w:vAlign w:val="bottom"/>
          </w:tcPr>
          <w:p>
            <w:pPr>
              <w:jc w:val="right"/>
              <w:ind w:right="41"/>
              <w:spacing w:after="0"/>
              <w:rPr>
                <w:sz w:val="20"/>
                <w:szCs w:val="20"/>
                <w:color w:val="auto"/>
              </w:rPr>
            </w:pPr>
            <w:r>
              <w:rPr>
                <w:rFonts w:ascii="Arial" w:cs="Arial" w:eastAsia="Arial" w:hAnsi="Arial"/>
                <w:sz w:val="20"/>
                <w:szCs w:val="20"/>
                <w:color w:val="auto"/>
              </w:rPr>
              <w:t>20,873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20"/>
                <w:szCs w:val="20"/>
                <w:color w:val="auto"/>
              </w:rPr>
              <w:t>Put option related to auction rate securities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1,816</w:t>
            </w: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1,816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340" w:type="dxa"/>
            <w:vAlign w:val="bottom"/>
            <w:tcBorders>
              <w:bottom w:val="single" w:sz="8" w:color="CCEEFF"/>
            </w:tcBorders>
          </w:tcPr>
          <w:p>
            <w:pPr>
              <w:ind w:left="160"/>
              <w:spacing w:after="0" w:line="223" w:lineRule="exact"/>
              <w:rPr>
                <w:sz w:val="20"/>
                <w:szCs w:val="20"/>
                <w:color w:val="auto"/>
              </w:rPr>
            </w:pPr>
            <w:r>
              <w:rPr>
                <w:rFonts w:ascii="Arial" w:cs="Arial" w:eastAsia="Arial" w:hAnsi="Arial"/>
                <w:sz w:val="20"/>
                <w:szCs w:val="20"/>
                <w:color w:val="auto"/>
              </w:rPr>
              <w:t>Total</w:t>
            </w:r>
          </w:p>
        </w:tc>
        <w:tc>
          <w:tcPr>
            <w:tcW w:w="3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367,951</w:t>
            </w:r>
          </w:p>
        </w:tc>
        <w:tc>
          <w:tcPr>
            <w:tcW w:w="36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502,279</w:t>
            </w:r>
          </w:p>
        </w:tc>
        <w:tc>
          <w:tcPr>
            <w:tcW w:w="36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22,689</w:t>
            </w:r>
          </w:p>
        </w:tc>
        <w:tc>
          <w:tcPr>
            <w:tcW w:w="42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892,919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20"/>
                <w:szCs w:val="20"/>
                <w:color w:val="auto"/>
              </w:rPr>
              <w:t>Amounts included in:</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CEEFF"/>
          </w:tcPr>
          <w:p>
            <w:pPr>
              <w:ind w:left="80"/>
              <w:spacing w:after="0"/>
              <w:rPr>
                <w:sz w:val="20"/>
                <w:szCs w:val="20"/>
                <w:color w:val="auto"/>
              </w:rPr>
            </w:pPr>
            <w:r>
              <w:rPr>
                <w:rFonts w:ascii="Arial" w:cs="Arial" w:eastAsia="Arial" w:hAnsi="Arial"/>
                <w:sz w:val="20"/>
                <w:szCs w:val="20"/>
                <w:color w:val="auto"/>
              </w:rPr>
              <w:t>Cash and cash equivalents</w:t>
            </w:r>
          </w:p>
        </w:tc>
        <w:tc>
          <w:tcPr>
            <w:tcW w:w="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352,626</w:t>
            </w:r>
          </w:p>
        </w:tc>
        <w:tc>
          <w:tcPr>
            <w:tcW w:w="36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11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66,541</w:t>
            </w:r>
          </w:p>
        </w:tc>
        <w:tc>
          <w:tcPr>
            <w:tcW w:w="36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11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419,167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ind w:left="80"/>
              <w:spacing w:after="0"/>
              <w:rPr>
                <w:sz w:val="20"/>
                <w:szCs w:val="20"/>
                <w:color w:val="auto"/>
              </w:rPr>
            </w:pPr>
            <w:r>
              <w:rPr>
                <w:rFonts w:ascii="Arial" w:cs="Arial" w:eastAsia="Arial" w:hAnsi="Arial"/>
                <w:sz w:val="20"/>
                <w:szCs w:val="20"/>
                <w:color w:val="auto"/>
              </w:rPr>
              <w:t>Short-term investments</w:t>
            </w:r>
          </w:p>
        </w:tc>
        <w:tc>
          <w:tcPr>
            <w:tcW w:w="32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Arial" w:cs="Arial" w:eastAsia="Arial" w:hAnsi="Arial"/>
                <w:sz w:val="20"/>
                <w:szCs w:val="20"/>
                <w:color w:val="auto"/>
              </w:rPr>
              <w:t>15,325</w:t>
            </w:r>
          </w:p>
        </w:tc>
        <w:tc>
          <w:tcPr>
            <w:tcW w:w="360" w:type="dxa"/>
            <w:vAlign w:val="bottom"/>
          </w:tcPr>
          <w:p>
            <w:pPr>
              <w:spacing w:after="0"/>
              <w:rPr>
                <w:sz w:val="19"/>
                <w:szCs w:val="19"/>
                <w:color w:val="auto"/>
              </w:rPr>
            </w:pPr>
          </w:p>
        </w:tc>
        <w:tc>
          <w:tcPr>
            <w:tcW w:w="1180" w:type="dxa"/>
            <w:vAlign w:val="bottom"/>
          </w:tcPr>
          <w:p>
            <w:pPr>
              <w:jc w:val="right"/>
              <w:ind w:right="41"/>
              <w:spacing w:after="0"/>
              <w:rPr>
                <w:sz w:val="20"/>
                <w:szCs w:val="20"/>
                <w:color w:val="auto"/>
              </w:rPr>
            </w:pPr>
            <w:r>
              <w:rPr>
                <w:rFonts w:ascii="Arial" w:cs="Arial" w:eastAsia="Arial" w:hAnsi="Arial"/>
                <w:sz w:val="20"/>
                <w:szCs w:val="20"/>
                <w:color w:val="auto"/>
              </w:rPr>
              <w:t>435,738</w:t>
            </w:r>
          </w:p>
        </w:tc>
        <w:tc>
          <w:tcPr>
            <w:tcW w:w="360" w:type="dxa"/>
            <w:vAlign w:val="bottom"/>
          </w:tcPr>
          <w:p>
            <w:pPr>
              <w:spacing w:after="0"/>
              <w:rPr>
                <w:sz w:val="19"/>
                <w:szCs w:val="19"/>
                <w:color w:val="auto"/>
              </w:rPr>
            </w:pPr>
          </w:p>
        </w:tc>
        <w:tc>
          <w:tcPr>
            <w:tcW w:w="11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140" w:type="dxa"/>
            <w:vAlign w:val="bottom"/>
          </w:tcPr>
          <w:p>
            <w:pPr>
              <w:jc w:val="right"/>
              <w:ind w:right="41"/>
              <w:spacing w:after="0"/>
              <w:rPr>
                <w:sz w:val="20"/>
                <w:szCs w:val="20"/>
                <w:color w:val="auto"/>
              </w:rPr>
            </w:pPr>
            <w:r>
              <w:rPr>
                <w:rFonts w:ascii="Arial" w:cs="Arial" w:eastAsia="Arial" w:hAnsi="Arial"/>
                <w:sz w:val="20"/>
                <w:szCs w:val="20"/>
                <w:color w:val="auto"/>
              </w:rPr>
              <w:t>451,063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CEEFF"/>
          </w:tcPr>
          <w:p>
            <w:pPr>
              <w:ind w:left="80"/>
              <w:spacing w:after="0"/>
              <w:rPr>
                <w:sz w:val="20"/>
                <w:szCs w:val="20"/>
                <w:color w:val="auto"/>
              </w:rPr>
            </w:pPr>
            <w:r>
              <w:rPr>
                <w:rFonts w:ascii="Arial" w:cs="Arial" w:eastAsia="Arial" w:hAnsi="Arial"/>
                <w:sz w:val="20"/>
                <w:szCs w:val="20"/>
                <w:color w:val="auto"/>
              </w:rPr>
              <w:t>Investments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20,873</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20,873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Borders>
              <w:bottom w:val="single" w:sz="8" w:color="CCEEFF"/>
            </w:tcBorders>
          </w:tcPr>
          <w:p>
            <w:pPr>
              <w:ind w:left="80"/>
              <w:spacing w:after="0"/>
              <w:rPr>
                <w:sz w:val="20"/>
                <w:szCs w:val="20"/>
                <w:color w:val="auto"/>
              </w:rPr>
            </w:pPr>
            <w:r>
              <w:rPr>
                <w:rFonts w:ascii="Arial" w:cs="Arial" w:eastAsia="Arial" w:hAnsi="Arial"/>
                <w:sz w:val="20"/>
                <w:szCs w:val="20"/>
                <w:color w:val="auto"/>
              </w:rPr>
              <w:t>Other assets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1,816</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1,816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Borders>
              <w:bottom w:val="single" w:sz="8" w:color="CCEEFF"/>
            </w:tcBorders>
            <w:shd w:val="clear" w:color="auto" w:fill="CCEEFF"/>
          </w:tcPr>
          <w:p>
            <w:pPr>
              <w:ind w:left="160"/>
              <w:spacing w:after="0" w:line="223" w:lineRule="exact"/>
              <w:rPr>
                <w:sz w:val="20"/>
                <w:szCs w:val="20"/>
                <w:color w:val="auto"/>
              </w:rPr>
            </w:pPr>
            <w:r>
              <w:rPr>
                <w:rFonts w:ascii="Arial" w:cs="Arial" w:eastAsia="Arial" w:hAnsi="Arial"/>
                <w:sz w:val="20"/>
                <w:szCs w:val="20"/>
                <w:color w:val="auto"/>
              </w:rPr>
              <w:t>Total</w:t>
            </w:r>
          </w:p>
        </w:tc>
        <w:tc>
          <w:tcPr>
            <w:tcW w:w="32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367,951</w:t>
            </w:r>
          </w:p>
        </w:tc>
        <w:tc>
          <w:tcPr>
            <w:tcW w:w="360" w:type="dxa"/>
            <w:vAlign w:val="bottom"/>
            <w:tcBorders>
              <w:bottom w:val="single" w:sz="8" w:color="auto"/>
            </w:tcBorders>
            <w:shd w:val="clear" w:color="auto" w:fill="CCEEFF"/>
          </w:tcPr>
          <w:p>
            <w:pPr>
              <w:jc w:val="right"/>
              <w:ind w:right="1"/>
              <w:spacing w:after="0" w:line="223" w:lineRule="exact"/>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502,279</w:t>
            </w:r>
          </w:p>
        </w:tc>
        <w:tc>
          <w:tcPr>
            <w:tcW w:w="360" w:type="dxa"/>
            <w:vAlign w:val="bottom"/>
            <w:tcBorders>
              <w:bottom w:val="single" w:sz="8" w:color="auto"/>
            </w:tcBorders>
            <w:shd w:val="clear" w:color="auto" w:fill="CCEEFF"/>
          </w:tcPr>
          <w:p>
            <w:pPr>
              <w:jc w:val="right"/>
              <w:ind w:right="1"/>
              <w:spacing w:after="0" w:line="223" w:lineRule="exact"/>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22,689</w:t>
            </w:r>
          </w:p>
        </w:tc>
        <w:tc>
          <w:tcPr>
            <w:tcW w:w="420" w:type="dxa"/>
            <w:vAlign w:val="bottom"/>
            <w:tcBorders>
              <w:bottom w:val="single" w:sz="8" w:color="auto"/>
            </w:tcBorders>
            <w:shd w:val="clear" w:color="auto" w:fill="CCEEFF"/>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892,919</w:t>
            </w:r>
          </w:p>
        </w:tc>
        <w:tc>
          <w:tcPr>
            <w:tcW w:w="0" w:type="dxa"/>
            <w:vAlign w:val="bottom"/>
          </w:tcPr>
          <w:p>
            <w:pPr>
              <w:spacing w:after="0"/>
              <w:rPr>
                <w:sz w:val="1"/>
                <w:szCs w:val="1"/>
                <w:color w:val="auto"/>
              </w:rPr>
            </w:pPr>
          </w:p>
        </w:tc>
      </w:tr>
      <w:tr>
        <w:trPr>
          <w:trHeight w:val="20"/>
        </w:trPr>
        <w:tc>
          <w:tcPr>
            <w:tcW w:w="536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360" w:type="dxa"/>
            <w:vAlign w:val="bottom"/>
            <w:gridSpan w:val="2"/>
          </w:tcPr>
          <w:p>
            <w:pPr>
              <w:spacing w:after="0"/>
              <w:rPr>
                <w:sz w:val="20"/>
                <w:szCs w:val="20"/>
                <w:color w:val="auto"/>
              </w:rPr>
            </w:pPr>
            <w:r>
              <w:rPr>
                <w:rFonts w:ascii="Arial" w:cs="Arial" w:eastAsia="Arial" w:hAnsi="Arial"/>
                <w:sz w:val="20"/>
                <w:szCs w:val="20"/>
                <w:color w:val="auto"/>
              </w:rPr>
              <w:t>December 31, 2011</w:t>
            </w:r>
          </w:p>
        </w:tc>
        <w:tc>
          <w:tcPr>
            <w:tcW w:w="320" w:type="dxa"/>
            <w:vAlign w:val="bottom"/>
          </w:tcPr>
          <w:p>
            <w:pPr>
              <w:spacing w:after="0"/>
              <w:rPr>
                <w:sz w:val="24"/>
                <w:szCs w:val="24"/>
                <w:color w:val="auto"/>
              </w:rPr>
            </w:pPr>
          </w:p>
        </w:tc>
        <w:tc>
          <w:tcPr>
            <w:tcW w:w="1100" w:type="dxa"/>
            <w:vAlign w:val="bottom"/>
          </w:tcPr>
          <w:p>
            <w:pPr>
              <w:jc w:val="right"/>
              <w:ind w:right="301"/>
              <w:spacing w:after="0"/>
              <w:rPr>
                <w:sz w:val="20"/>
                <w:szCs w:val="20"/>
                <w:color w:val="auto"/>
              </w:rPr>
            </w:pPr>
            <w:r>
              <w:rPr>
                <w:rFonts w:ascii="Arial" w:cs="Arial" w:eastAsia="Arial" w:hAnsi="Arial"/>
                <w:sz w:val="20"/>
                <w:szCs w:val="20"/>
                <w:color w:val="auto"/>
              </w:rPr>
              <w:t>Level 1</w:t>
            </w:r>
          </w:p>
        </w:tc>
        <w:tc>
          <w:tcPr>
            <w:tcW w:w="360" w:type="dxa"/>
            <w:vAlign w:val="bottom"/>
          </w:tcPr>
          <w:p>
            <w:pPr>
              <w:spacing w:after="0"/>
              <w:rPr>
                <w:sz w:val="24"/>
                <w:szCs w:val="24"/>
                <w:color w:val="auto"/>
              </w:rPr>
            </w:pPr>
          </w:p>
        </w:tc>
        <w:tc>
          <w:tcPr>
            <w:tcW w:w="1180" w:type="dxa"/>
            <w:vAlign w:val="bottom"/>
          </w:tcPr>
          <w:p>
            <w:pPr>
              <w:jc w:val="right"/>
              <w:ind w:right="361"/>
              <w:spacing w:after="0"/>
              <w:rPr>
                <w:sz w:val="20"/>
                <w:szCs w:val="20"/>
                <w:color w:val="auto"/>
              </w:rPr>
            </w:pPr>
            <w:r>
              <w:rPr>
                <w:rFonts w:ascii="Arial" w:cs="Arial" w:eastAsia="Arial" w:hAnsi="Arial"/>
                <w:sz w:val="20"/>
                <w:szCs w:val="20"/>
                <w:color w:val="auto"/>
              </w:rPr>
              <w:t>Level 2</w:t>
            </w:r>
          </w:p>
        </w:tc>
        <w:tc>
          <w:tcPr>
            <w:tcW w:w="360" w:type="dxa"/>
            <w:vAlign w:val="bottom"/>
          </w:tcPr>
          <w:p>
            <w:pPr>
              <w:spacing w:after="0"/>
              <w:rPr>
                <w:sz w:val="24"/>
                <w:szCs w:val="24"/>
                <w:color w:val="auto"/>
              </w:rPr>
            </w:pPr>
          </w:p>
        </w:tc>
        <w:tc>
          <w:tcPr>
            <w:tcW w:w="1180" w:type="dxa"/>
            <w:vAlign w:val="bottom"/>
          </w:tcPr>
          <w:p>
            <w:pPr>
              <w:jc w:val="right"/>
              <w:ind w:right="361"/>
              <w:spacing w:after="0"/>
              <w:rPr>
                <w:sz w:val="20"/>
                <w:szCs w:val="20"/>
                <w:color w:val="auto"/>
              </w:rPr>
            </w:pPr>
            <w:r>
              <w:rPr>
                <w:rFonts w:ascii="Arial" w:cs="Arial" w:eastAsia="Arial" w:hAnsi="Arial"/>
                <w:sz w:val="20"/>
                <w:szCs w:val="20"/>
                <w:color w:val="auto"/>
              </w:rPr>
              <w:t>Level 3</w:t>
            </w:r>
          </w:p>
        </w:tc>
        <w:tc>
          <w:tcPr>
            <w:tcW w:w="420" w:type="dxa"/>
            <w:vAlign w:val="bottom"/>
          </w:tcPr>
          <w:p>
            <w:pPr>
              <w:spacing w:after="0"/>
              <w:rPr>
                <w:sz w:val="24"/>
                <w:szCs w:val="24"/>
                <w:color w:val="auto"/>
              </w:rPr>
            </w:pPr>
          </w:p>
        </w:tc>
        <w:tc>
          <w:tcPr>
            <w:tcW w:w="1140" w:type="dxa"/>
            <w:vAlign w:val="bottom"/>
          </w:tcPr>
          <w:p>
            <w:pPr>
              <w:jc w:val="right"/>
              <w:ind w:right="461"/>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Borders>
              <w:top w:val="single" w:sz="8" w:color="auto"/>
            </w:tcBorders>
            <w:shd w:val="clear" w:color="auto" w:fill="CCEEFF"/>
          </w:tcPr>
          <w:p>
            <w:pPr>
              <w:spacing w:after="0" w:line="223" w:lineRule="exact"/>
              <w:rPr>
                <w:sz w:val="20"/>
                <w:szCs w:val="20"/>
                <w:color w:val="auto"/>
              </w:rPr>
            </w:pPr>
            <w:r>
              <w:rPr>
                <w:rFonts w:ascii="Arial" w:cs="Arial" w:eastAsia="Arial" w:hAnsi="Arial"/>
                <w:sz w:val="20"/>
                <w:szCs w:val="20"/>
                <w:color w:val="auto"/>
              </w:rPr>
              <w:t>Cash</w:t>
            </w:r>
          </w:p>
        </w:tc>
        <w:tc>
          <w:tcPr>
            <w:tcW w:w="32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1100" w:type="dxa"/>
            <w:vAlign w:val="bottom"/>
            <w:tcBorders>
              <w:top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81,879</w:t>
            </w:r>
          </w:p>
        </w:tc>
        <w:tc>
          <w:tcPr>
            <w:tcW w:w="360" w:type="dxa"/>
            <w:vAlign w:val="bottom"/>
            <w:tcBorders>
              <w:top w:val="single" w:sz="8" w:color="auto"/>
            </w:tcBorders>
            <w:shd w:val="clear" w:color="auto" w:fill="CCEEFF"/>
          </w:tcPr>
          <w:p>
            <w:pPr>
              <w:jc w:val="right"/>
              <w:ind w:right="1"/>
              <w:spacing w:after="0" w:line="223" w:lineRule="exact"/>
              <w:rPr>
                <w:sz w:val="20"/>
                <w:szCs w:val="20"/>
                <w:color w:val="auto"/>
              </w:rPr>
            </w:pPr>
            <w:r>
              <w:rPr>
                <w:rFonts w:ascii="Arial" w:cs="Arial" w:eastAsia="Arial" w:hAnsi="Arial"/>
                <w:sz w:val="20"/>
                <w:szCs w:val="20"/>
                <w:color w:val="auto"/>
              </w:rPr>
              <w:t>$</w:t>
            </w:r>
          </w:p>
        </w:tc>
        <w:tc>
          <w:tcPr>
            <w:tcW w:w="1180" w:type="dxa"/>
            <w:vAlign w:val="bottom"/>
            <w:tcBorders>
              <w:top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360" w:type="dxa"/>
            <w:vAlign w:val="bottom"/>
            <w:tcBorders>
              <w:top w:val="single" w:sz="8" w:color="auto"/>
            </w:tcBorders>
            <w:shd w:val="clear" w:color="auto" w:fill="CCEEFF"/>
          </w:tcPr>
          <w:p>
            <w:pPr>
              <w:jc w:val="right"/>
              <w:ind w:right="1"/>
              <w:spacing w:after="0" w:line="223" w:lineRule="exact"/>
              <w:rPr>
                <w:sz w:val="20"/>
                <w:szCs w:val="20"/>
                <w:color w:val="auto"/>
              </w:rPr>
            </w:pPr>
            <w:r>
              <w:rPr>
                <w:rFonts w:ascii="Arial" w:cs="Arial" w:eastAsia="Arial" w:hAnsi="Arial"/>
                <w:sz w:val="20"/>
                <w:szCs w:val="20"/>
                <w:color w:val="auto"/>
              </w:rPr>
              <w:t>$</w:t>
            </w:r>
          </w:p>
        </w:tc>
        <w:tc>
          <w:tcPr>
            <w:tcW w:w="1180" w:type="dxa"/>
            <w:vAlign w:val="bottom"/>
            <w:tcBorders>
              <w:top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420" w:type="dxa"/>
            <w:vAlign w:val="bottom"/>
            <w:tcBorders>
              <w:top w:val="single" w:sz="8" w:color="auto"/>
            </w:tcBorders>
            <w:shd w:val="clear" w:color="auto" w:fill="CCEEFF"/>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140" w:type="dxa"/>
            <w:vAlign w:val="bottom"/>
            <w:tcBorders>
              <w:top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81,879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20"/>
                <w:szCs w:val="20"/>
                <w:color w:val="auto"/>
              </w:rPr>
              <w:t>Money market funds</w:t>
            </w:r>
          </w:p>
        </w:tc>
        <w:tc>
          <w:tcPr>
            <w:tcW w:w="32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Arial" w:cs="Arial" w:eastAsia="Arial" w:hAnsi="Arial"/>
                <w:sz w:val="20"/>
                <w:szCs w:val="20"/>
                <w:color w:val="auto"/>
              </w:rPr>
              <w:t>230,029</w:t>
            </w:r>
          </w:p>
        </w:tc>
        <w:tc>
          <w:tcPr>
            <w:tcW w:w="360" w:type="dxa"/>
            <w:vAlign w:val="bottom"/>
          </w:tcPr>
          <w:p>
            <w:pPr>
              <w:spacing w:after="0"/>
              <w:rPr>
                <w:sz w:val="19"/>
                <w:szCs w:val="19"/>
                <w:color w:val="auto"/>
              </w:rPr>
            </w:pPr>
          </w:p>
        </w:tc>
        <w:tc>
          <w:tcPr>
            <w:tcW w:w="11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1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140" w:type="dxa"/>
            <w:vAlign w:val="bottom"/>
          </w:tcPr>
          <w:p>
            <w:pPr>
              <w:jc w:val="right"/>
              <w:ind w:right="41"/>
              <w:spacing w:after="0"/>
              <w:rPr>
                <w:sz w:val="20"/>
                <w:szCs w:val="20"/>
                <w:color w:val="auto"/>
              </w:rPr>
            </w:pPr>
            <w:r>
              <w:rPr>
                <w:rFonts w:ascii="Arial" w:cs="Arial" w:eastAsia="Arial" w:hAnsi="Arial"/>
                <w:sz w:val="20"/>
                <w:szCs w:val="20"/>
                <w:color w:val="auto"/>
              </w:rPr>
              <w:t>230,029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20"/>
                <w:szCs w:val="20"/>
                <w:color w:val="auto"/>
              </w:rPr>
              <w:t>U.S. Treasuries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8,034</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8,034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20"/>
                <w:szCs w:val="20"/>
                <w:color w:val="auto"/>
              </w:rPr>
              <w:t>Certificates of deposit</w:t>
            </w:r>
          </w:p>
        </w:tc>
        <w:tc>
          <w:tcPr>
            <w:tcW w:w="32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180" w:type="dxa"/>
            <w:vAlign w:val="bottom"/>
          </w:tcPr>
          <w:p>
            <w:pPr>
              <w:jc w:val="right"/>
              <w:ind w:right="41"/>
              <w:spacing w:after="0"/>
              <w:rPr>
                <w:sz w:val="20"/>
                <w:szCs w:val="20"/>
                <w:color w:val="auto"/>
              </w:rPr>
            </w:pPr>
            <w:r>
              <w:rPr>
                <w:rFonts w:ascii="Arial" w:cs="Arial" w:eastAsia="Arial" w:hAnsi="Arial"/>
                <w:sz w:val="20"/>
                <w:szCs w:val="20"/>
                <w:color w:val="auto"/>
              </w:rPr>
              <w:t>69,078</w:t>
            </w:r>
          </w:p>
        </w:tc>
        <w:tc>
          <w:tcPr>
            <w:tcW w:w="360" w:type="dxa"/>
            <w:vAlign w:val="bottom"/>
          </w:tcPr>
          <w:p>
            <w:pPr>
              <w:spacing w:after="0"/>
              <w:rPr>
                <w:sz w:val="19"/>
                <w:szCs w:val="19"/>
                <w:color w:val="auto"/>
              </w:rPr>
            </w:pPr>
          </w:p>
        </w:tc>
        <w:tc>
          <w:tcPr>
            <w:tcW w:w="11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140" w:type="dxa"/>
            <w:vAlign w:val="bottom"/>
          </w:tcPr>
          <w:p>
            <w:pPr>
              <w:jc w:val="right"/>
              <w:ind w:right="41"/>
              <w:spacing w:after="0"/>
              <w:rPr>
                <w:sz w:val="20"/>
                <w:szCs w:val="20"/>
                <w:color w:val="auto"/>
              </w:rPr>
            </w:pPr>
            <w:r>
              <w:rPr>
                <w:rFonts w:ascii="Arial" w:cs="Arial" w:eastAsia="Arial" w:hAnsi="Arial"/>
                <w:sz w:val="20"/>
                <w:szCs w:val="20"/>
                <w:color w:val="auto"/>
              </w:rPr>
              <w:t>69,078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20"/>
                <w:szCs w:val="20"/>
                <w:color w:val="auto"/>
              </w:rPr>
              <w:t>Corporate bonds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2,022</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2,022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20"/>
                <w:szCs w:val="20"/>
                <w:color w:val="auto"/>
              </w:rPr>
              <w:t>Municipal securities</w:t>
            </w:r>
          </w:p>
        </w:tc>
        <w:tc>
          <w:tcPr>
            <w:tcW w:w="32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180" w:type="dxa"/>
            <w:vAlign w:val="bottom"/>
          </w:tcPr>
          <w:p>
            <w:pPr>
              <w:jc w:val="right"/>
              <w:ind w:right="41"/>
              <w:spacing w:after="0"/>
              <w:rPr>
                <w:sz w:val="20"/>
                <w:szCs w:val="20"/>
                <w:color w:val="auto"/>
              </w:rPr>
            </w:pPr>
            <w:r>
              <w:rPr>
                <w:rFonts w:ascii="Arial" w:cs="Arial" w:eastAsia="Arial" w:hAnsi="Arial"/>
                <w:sz w:val="20"/>
                <w:szCs w:val="20"/>
                <w:color w:val="auto"/>
              </w:rPr>
              <w:t>291,984</w:t>
            </w:r>
          </w:p>
        </w:tc>
        <w:tc>
          <w:tcPr>
            <w:tcW w:w="360" w:type="dxa"/>
            <w:vAlign w:val="bottom"/>
          </w:tcPr>
          <w:p>
            <w:pPr>
              <w:spacing w:after="0"/>
              <w:rPr>
                <w:sz w:val="19"/>
                <w:szCs w:val="19"/>
                <w:color w:val="auto"/>
              </w:rPr>
            </w:pPr>
          </w:p>
        </w:tc>
        <w:tc>
          <w:tcPr>
            <w:tcW w:w="11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140" w:type="dxa"/>
            <w:vAlign w:val="bottom"/>
          </w:tcPr>
          <w:p>
            <w:pPr>
              <w:jc w:val="right"/>
              <w:ind w:right="41"/>
              <w:spacing w:after="0"/>
              <w:rPr>
                <w:sz w:val="20"/>
                <w:szCs w:val="20"/>
                <w:color w:val="auto"/>
              </w:rPr>
            </w:pPr>
            <w:r>
              <w:rPr>
                <w:rFonts w:ascii="Arial" w:cs="Arial" w:eastAsia="Arial" w:hAnsi="Arial"/>
                <w:sz w:val="20"/>
                <w:szCs w:val="20"/>
                <w:color w:val="auto"/>
              </w:rPr>
              <w:t>291,984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20"/>
                <w:szCs w:val="20"/>
                <w:color w:val="auto"/>
              </w:rPr>
              <w:t>U.S. government agency securities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16,005</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16,005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20"/>
                <w:szCs w:val="20"/>
                <w:color w:val="auto"/>
              </w:rPr>
              <w:t>Variable rate demand notes</w:t>
            </w:r>
          </w:p>
        </w:tc>
        <w:tc>
          <w:tcPr>
            <w:tcW w:w="32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180" w:type="dxa"/>
            <w:vAlign w:val="bottom"/>
          </w:tcPr>
          <w:p>
            <w:pPr>
              <w:jc w:val="right"/>
              <w:ind w:right="41"/>
              <w:spacing w:after="0"/>
              <w:rPr>
                <w:sz w:val="20"/>
                <w:szCs w:val="20"/>
                <w:color w:val="auto"/>
              </w:rPr>
            </w:pPr>
            <w:r>
              <w:rPr>
                <w:rFonts w:ascii="Arial" w:cs="Arial" w:eastAsia="Arial" w:hAnsi="Arial"/>
                <w:sz w:val="20"/>
                <w:szCs w:val="20"/>
                <w:color w:val="auto"/>
              </w:rPr>
              <w:t>58,924</w:t>
            </w:r>
          </w:p>
        </w:tc>
        <w:tc>
          <w:tcPr>
            <w:tcW w:w="360" w:type="dxa"/>
            <w:vAlign w:val="bottom"/>
          </w:tcPr>
          <w:p>
            <w:pPr>
              <w:spacing w:after="0"/>
              <w:rPr>
                <w:sz w:val="19"/>
                <w:szCs w:val="19"/>
                <w:color w:val="auto"/>
              </w:rPr>
            </w:pPr>
          </w:p>
        </w:tc>
        <w:tc>
          <w:tcPr>
            <w:tcW w:w="11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140" w:type="dxa"/>
            <w:vAlign w:val="bottom"/>
          </w:tcPr>
          <w:p>
            <w:pPr>
              <w:jc w:val="right"/>
              <w:ind w:right="41"/>
              <w:spacing w:after="0"/>
              <w:rPr>
                <w:sz w:val="20"/>
                <w:szCs w:val="20"/>
                <w:color w:val="auto"/>
              </w:rPr>
            </w:pPr>
            <w:r>
              <w:rPr>
                <w:rFonts w:ascii="Arial" w:cs="Arial" w:eastAsia="Arial" w:hAnsi="Arial"/>
                <w:sz w:val="20"/>
                <w:szCs w:val="20"/>
                <w:color w:val="auto"/>
              </w:rPr>
              <w:t>58,924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20"/>
                <w:szCs w:val="20"/>
                <w:color w:val="auto"/>
              </w:rPr>
              <w:t>Auction rate securities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35,852</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35,852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Borders>
              <w:bottom w:val="single" w:sz="8" w:color="CCEEFF"/>
            </w:tcBorders>
          </w:tcPr>
          <w:p>
            <w:pPr>
              <w:spacing w:after="0"/>
              <w:rPr>
                <w:sz w:val="20"/>
                <w:szCs w:val="20"/>
                <w:color w:val="auto"/>
              </w:rPr>
            </w:pPr>
            <w:r>
              <w:rPr>
                <w:rFonts w:ascii="Arial" w:cs="Arial" w:eastAsia="Arial" w:hAnsi="Arial"/>
                <w:sz w:val="20"/>
                <w:szCs w:val="20"/>
                <w:color w:val="auto"/>
              </w:rPr>
              <w:t>Put options related to auction rate securities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3,041</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3,041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Borders>
              <w:bottom w:val="single" w:sz="8" w:color="CCEEFF"/>
            </w:tcBorders>
            <w:shd w:val="clear" w:color="auto" w:fill="CCEEFF"/>
          </w:tcPr>
          <w:p>
            <w:pPr>
              <w:ind w:left="160"/>
              <w:spacing w:after="0" w:line="223" w:lineRule="exact"/>
              <w:rPr>
                <w:sz w:val="20"/>
                <w:szCs w:val="20"/>
                <w:color w:val="auto"/>
              </w:rPr>
            </w:pPr>
            <w:r>
              <w:rPr>
                <w:rFonts w:ascii="Arial" w:cs="Arial" w:eastAsia="Arial" w:hAnsi="Arial"/>
                <w:sz w:val="20"/>
                <w:szCs w:val="20"/>
                <w:color w:val="auto"/>
              </w:rPr>
              <w:t>Total</w:t>
            </w:r>
          </w:p>
        </w:tc>
        <w:tc>
          <w:tcPr>
            <w:tcW w:w="32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319,942</w:t>
            </w:r>
          </w:p>
        </w:tc>
        <w:tc>
          <w:tcPr>
            <w:tcW w:w="360" w:type="dxa"/>
            <w:vAlign w:val="bottom"/>
            <w:tcBorders>
              <w:bottom w:val="single" w:sz="8" w:color="auto"/>
            </w:tcBorders>
            <w:shd w:val="clear" w:color="auto" w:fill="CCEEFF"/>
          </w:tcPr>
          <w:p>
            <w:pPr>
              <w:jc w:val="right"/>
              <w:ind w:right="1"/>
              <w:spacing w:after="0" w:line="223" w:lineRule="exact"/>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438,013</w:t>
            </w:r>
          </w:p>
        </w:tc>
        <w:tc>
          <w:tcPr>
            <w:tcW w:w="360" w:type="dxa"/>
            <w:vAlign w:val="bottom"/>
            <w:tcBorders>
              <w:bottom w:val="single" w:sz="8" w:color="auto"/>
            </w:tcBorders>
            <w:shd w:val="clear" w:color="auto" w:fill="CCEEFF"/>
          </w:tcPr>
          <w:p>
            <w:pPr>
              <w:jc w:val="right"/>
              <w:ind w:right="1"/>
              <w:spacing w:after="0" w:line="223" w:lineRule="exact"/>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38,893</w:t>
            </w:r>
          </w:p>
        </w:tc>
        <w:tc>
          <w:tcPr>
            <w:tcW w:w="420" w:type="dxa"/>
            <w:vAlign w:val="bottom"/>
            <w:tcBorders>
              <w:bottom w:val="single" w:sz="8" w:color="auto"/>
            </w:tcBorders>
            <w:shd w:val="clear" w:color="auto" w:fill="CCEEFF"/>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796,848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20"/>
                <w:szCs w:val="20"/>
                <w:color w:val="auto"/>
              </w:rPr>
              <w:t>Amounts included in: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ind w:left="80"/>
              <w:spacing w:after="0"/>
              <w:rPr>
                <w:sz w:val="20"/>
                <w:szCs w:val="20"/>
                <w:color w:val="auto"/>
              </w:rPr>
            </w:pPr>
            <w:r>
              <w:rPr>
                <w:rFonts w:ascii="Arial" w:cs="Arial" w:eastAsia="Arial" w:hAnsi="Arial"/>
                <w:sz w:val="20"/>
                <w:szCs w:val="20"/>
                <w:color w:val="auto"/>
              </w:rPr>
              <w:t>Cash and cash equivalents</w:t>
            </w:r>
          </w:p>
        </w:tc>
        <w:tc>
          <w:tcPr>
            <w:tcW w:w="320" w:type="dxa"/>
            <w:vAlign w:val="bottom"/>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41"/>
              <w:spacing w:after="0"/>
              <w:rPr>
                <w:sz w:val="20"/>
                <w:szCs w:val="20"/>
                <w:color w:val="auto"/>
              </w:rPr>
            </w:pPr>
            <w:r>
              <w:rPr>
                <w:rFonts w:ascii="Arial" w:cs="Arial" w:eastAsia="Arial" w:hAnsi="Arial"/>
                <w:sz w:val="20"/>
                <w:szCs w:val="20"/>
                <w:color w:val="auto"/>
              </w:rPr>
              <w:t>311,908</w:t>
            </w:r>
          </w:p>
        </w:tc>
        <w:tc>
          <w:tcPr>
            <w:tcW w:w="3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180" w:type="dxa"/>
            <w:vAlign w:val="bottom"/>
          </w:tcPr>
          <w:p>
            <w:pPr>
              <w:jc w:val="right"/>
              <w:ind w:right="41"/>
              <w:spacing w:after="0"/>
              <w:rPr>
                <w:sz w:val="20"/>
                <w:szCs w:val="20"/>
                <w:color w:val="auto"/>
              </w:rPr>
            </w:pPr>
            <w:r>
              <w:rPr>
                <w:rFonts w:ascii="Arial" w:cs="Arial" w:eastAsia="Arial" w:hAnsi="Arial"/>
                <w:sz w:val="20"/>
                <w:szCs w:val="20"/>
                <w:color w:val="auto"/>
              </w:rPr>
              <w:t>47,423</w:t>
            </w:r>
          </w:p>
        </w:tc>
        <w:tc>
          <w:tcPr>
            <w:tcW w:w="3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1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41"/>
              <w:spacing w:after="0"/>
              <w:rPr>
                <w:sz w:val="20"/>
                <w:szCs w:val="20"/>
                <w:color w:val="auto"/>
              </w:rPr>
            </w:pPr>
            <w:r>
              <w:rPr>
                <w:rFonts w:ascii="Arial" w:cs="Arial" w:eastAsia="Arial" w:hAnsi="Arial"/>
                <w:sz w:val="20"/>
                <w:szCs w:val="20"/>
                <w:color w:val="auto"/>
              </w:rPr>
              <w:t>359,331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CEEFF"/>
          </w:tcPr>
          <w:p>
            <w:pPr>
              <w:ind w:left="80"/>
              <w:spacing w:after="0"/>
              <w:rPr>
                <w:sz w:val="20"/>
                <w:szCs w:val="20"/>
                <w:color w:val="auto"/>
              </w:rPr>
            </w:pPr>
            <w:r>
              <w:rPr>
                <w:rFonts w:ascii="Arial" w:cs="Arial" w:eastAsia="Arial" w:hAnsi="Arial"/>
                <w:sz w:val="20"/>
                <w:szCs w:val="20"/>
                <w:color w:val="auto"/>
              </w:rPr>
              <w:t>Short-term investments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8,034</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390,590</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12,658</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411,282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ind w:left="80"/>
              <w:spacing w:after="0"/>
              <w:rPr>
                <w:sz w:val="20"/>
                <w:szCs w:val="20"/>
                <w:color w:val="auto"/>
              </w:rPr>
            </w:pPr>
            <w:r>
              <w:rPr>
                <w:rFonts w:ascii="Arial" w:cs="Arial" w:eastAsia="Arial" w:hAnsi="Arial"/>
                <w:sz w:val="20"/>
                <w:szCs w:val="20"/>
                <w:color w:val="auto"/>
              </w:rPr>
              <w:t>Investments</w:t>
            </w:r>
          </w:p>
        </w:tc>
        <w:tc>
          <w:tcPr>
            <w:tcW w:w="32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1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180" w:type="dxa"/>
            <w:vAlign w:val="bottom"/>
          </w:tcPr>
          <w:p>
            <w:pPr>
              <w:jc w:val="right"/>
              <w:ind w:right="41"/>
              <w:spacing w:after="0"/>
              <w:rPr>
                <w:sz w:val="20"/>
                <w:szCs w:val="20"/>
                <w:color w:val="auto"/>
              </w:rPr>
            </w:pPr>
            <w:r>
              <w:rPr>
                <w:rFonts w:ascii="Arial" w:cs="Arial" w:eastAsia="Arial" w:hAnsi="Arial"/>
                <w:sz w:val="20"/>
                <w:szCs w:val="20"/>
                <w:color w:val="auto"/>
              </w:rPr>
              <w:t>23,194</w:t>
            </w:r>
          </w:p>
        </w:tc>
        <w:tc>
          <w:tcPr>
            <w:tcW w:w="420" w:type="dxa"/>
            <w:vAlign w:val="bottom"/>
          </w:tcPr>
          <w:p>
            <w:pPr>
              <w:spacing w:after="0"/>
              <w:rPr>
                <w:sz w:val="19"/>
                <w:szCs w:val="19"/>
                <w:color w:val="auto"/>
              </w:rPr>
            </w:pPr>
          </w:p>
        </w:tc>
        <w:tc>
          <w:tcPr>
            <w:tcW w:w="1140" w:type="dxa"/>
            <w:vAlign w:val="bottom"/>
          </w:tcPr>
          <w:p>
            <w:pPr>
              <w:jc w:val="right"/>
              <w:ind w:right="41"/>
              <w:spacing w:after="0"/>
              <w:rPr>
                <w:sz w:val="20"/>
                <w:szCs w:val="20"/>
                <w:color w:val="auto"/>
              </w:rPr>
            </w:pPr>
            <w:r>
              <w:rPr>
                <w:rFonts w:ascii="Arial" w:cs="Arial" w:eastAsia="Arial" w:hAnsi="Arial"/>
                <w:sz w:val="20"/>
                <w:szCs w:val="20"/>
                <w:color w:val="auto"/>
              </w:rPr>
              <w:t>23,194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CEEFF"/>
          </w:tcPr>
          <w:p>
            <w:pPr>
              <w:ind w:left="80"/>
              <w:spacing w:after="0"/>
              <w:rPr>
                <w:sz w:val="20"/>
                <w:szCs w:val="20"/>
                <w:color w:val="auto"/>
              </w:rPr>
            </w:pPr>
            <w:r>
              <w:rPr>
                <w:rFonts w:ascii="Arial" w:cs="Arial" w:eastAsia="Arial" w:hAnsi="Arial"/>
                <w:sz w:val="20"/>
                <w:szCs w:val="20"/>
                <w:color w:val="auto"/>
              </w:rPr>
              <w:t>Prepaid expenses and other current assets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873</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873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Borders>
              <w:bottom w:val="single" w:sz="8" w:color="CCEEFF"/>
            </w:tcBorders>
          </w:tcPr>
          <w:p>
            <w:pPr>
              <w:ind w:left="80"/>
              <w:spacing w:after="0"/>
              <w:rPr>
                <w:sz w:val="20"/>
                <w:szCs w:val="20"/>
                <w:color w:val="auto"/>
              </w:rPr>
            </w:pPr>
            <w:r>
              <w:rPr>
                <w:rFonts w:ascii="Arial" w:cs="Arial" w:eastAsia="Arial" w:hAnsi="Arial"/>
                <w:sz w:val="20"/>
                <w:szCs w:val="20"/>
                <w:color w:val="auto"/>
              </w:rPr>
              <w:t>Other assets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2,168</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2,168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18" w:right="239" w:bottom="0" w:gutter="0" w:footer="0" w:header="0"/>
        </w:sectPr>
      </w:pPr>
    </w:p>
    <w:bookmarkStart w:id="8" w:name="page9"/>
    <w:bookmarkEnd w:id="8"/>
    <w:p>
      <w:pPr>
        <w:spacing w:after="0" w:line="83" w:lineRule="exact"/>
        <w:rPr>
          <w:sz w:val="20"/>
          <w:szCs w:val="20"/>
          <w:color w:val="auto"/>
        </w:rPr>
      </w:pPr>
    </w:p>
    <w:p>
      <w:pPr>
        <w:ind w:left="180"/>
        <w:spacing w:after="0"/>
        <w:tabs>
          <w:tab w:leader="none" w:pos="5480" w:val="left"/>
          <w:tab w:leader="none" w:pos="5980" w:val="left"/>
          <w:tab w:leader="none" w:pos="6920" w:val="left"/>
          <w:tab w:leader="none" w:pos="7520" w:val="left"/>
          <w:tab w:leader="none" w:pos="8460" w:val="left"/>
          <w:tab w:leader="none" w:pos="9160" w:val="left"/>
          <w:tab w:leader="none" w:pos="10000" w:val="left"/>
          <w:tab w:leader="none" w:pos="10620" w:val="left"/>
        </w:tabs>
        <w:rPr>
          <w:sz w:val="20"/>
          <w:szCs w:val="20"/>
          <w:color w:val="auto"/>
        </w:rPr>
      </w:pPr>
      <w:r>
        <w:rPr>
          <w:rFonts w:ascii="Arial" w:cs="Arial" w:eastAsia="Arial" w:hAnsi="Arial"/>
          <w:sz w:val="20"/>
          <w:szCs w:val="20"/>
          <w:color w:val="auto"/>
        </w:rPr>
        <w:t>Total</w:t>
      </w:r>
      <w:r>
        <w:rPr>
          <w:sz w:val="20"/>
          <w:szCs w:val="20"/>
          <w:color w:val="auto"/>
        </w:rPr>
        <w:tab/>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319,942</w:t>
        <w:tab/>
        <w:t>$</w:t>
      </w:r>
      <w:r>
        <w:rPr>
          <w:sz w:val="20"/>
          <w:szCs w:val="20"/>
          <w:color w:val="auto"/>
        </w:rPr>
        <w:tab/>
      </w:r>
      <w:r>
        <w:rPr>
          <w:rFonts w:ascii="Arial" w:cs="Arial" w:eastAsia="Arial" w:hAnsi="Arial"/>
          <w:sz w:val="20"/>
          <w:szCs w:val="20"/>
          <w:color w:val="auto"/>
        </w:rPr>
        <w:t>438,013</w:t>
        <w:tab/>
        <w:t>$</w:t>
      </w:r>
      <w:r>
        <w:rPr>
          <w:sz w:val="20"/>
          <w:szCs w:val="20"/>
          <w:color w:val="auto"/>
        </w:rPr>
        <w:tab/>
      </w:r>
      <w:r>
        <w:rPr>
          <w:rFonts w:ascii="Arial" w:cs="Arial" w:eastAsia="Arial" w:hAnsi="Arial"/>
          <w:sz w:val="20"/>
          <w:szCs w:val="20"/>
          <w:color w:val="auto"/>
        </w:rPr>
        <w:t>38,893</w:t>
        <w:tab/>
        <w:t>$</w:t>
      </w:r>
      <w:r>
        <w:rPr>
          <w:sz w:val="20"/>
          <w:szCs w:val="20"/>
          <w:color w:val="auto"/>
        </w:rPr>
        <w:tab/>
      </w:r>
      <w:r>
        <w:rPr>
          <w:rFonts w:ascii="Arial" w:cs="Arial" w:eastAsia="Arial" w:hAnsi="Arial"/>
          <w:sz w:val="16"/>
          <w:szCs w:val="16"/>
          <w:color w:val="auto"/>
        </w:rPr>
        <w:t>796,848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5"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The majority of the Company’s short-term investments are classified within Level 1 or Level 2 of the fair value hierarchy. The Company’s valuation of its Level 1 investments, which include money market funds and U.S. Treasuries, is based on quoted market prices in active markets for identical securities. The Company’s valuation of its Level 2 investments, which include certificates of deposit, corporate bonds, municipal securities, U.S. government agency securities and VRDNs, is based on other observable inputs, specifically a valuation model which utilized vendor pricing for similar securities. There were no transfers between Level 1 and Level 2 measurements during the three- and six-months ended June 30, 2012, and there were no changes in the Company’s valuation techniques.</w:t>
      </w:r>
    </w:p>
    <w:p>
      <w:pPr>
        <w:spacing w:after="0" w:line="21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The Company’s Level 3 assets are comprised of auction rate securities and put options. The Company’s Level 3 valuation utilized a mark-to-model approach which included estimates for interest rates, timing and amount of cash flows, credit and liquidity premiums, as well as expected holding periods for the auction rate securities. These assumptions are typically volatile and subject to change as the underlying data sources and market conditions evolve. A significant change in any single input could have a significant valuation impact; however, no single input has a more significant impact on valuation than another. There were no changes in the Company’s valuation techniques of its Level 3 assets during the three- and six-months ended June 30, 2012.</w:t>
      </w:r>
    </w:p>
    <w:p>
      <w:pPr>
        <w:spacing w:after="0" w:line="178"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The following table presents quantitative information related to the significant unobservable inputs utilized in the Company’s Level 3 recurring fair value measurements as of June 30, 2012.</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74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600" w:type="dxa"/>
            <w:vAlign w:val="bottom"/>
            <w:tcBorders>
              <w:bottom w:val="single" w:sz="8" w:color="auto"/>
            </w:tcBorders>
          </w:tcPr>
          <w:p>
            <w:pPr>
              <w:ind w:left="520"/>
              <w:spacing w:after="0"/>
              <w:rPr>
                <w:sz w:val="20"/>
                <w:szCs w:val="20"/>
                <w:color w:val="auto"/>
              </w:rPr>
            </w:pPr>
            <w:r>
              <w:rPr>
                <w:rFonts w:ascii="Arial" w:cs="Arial" w:eastAsia="Arial" w:hAnsi="Arial"/>
                <w:sz w:val="19"/>
                <w:szCs w:val="19"/>
                <w:color w:val="auto"/>
              </w:rPr>
              <w:t>Valuation Technique</w:t>
            </w:r>
          </w:p>
        </w:tc>
        <w:tc>
          <w:tcPr>
            <w:tcW w:w="200" w:type="dxa"/>
            <w:vAlign w:val="bottom"/>
            <w:tcBorders>
              <w:bottom w:val="single" w:sz="8" w:color="CCEEFF"/>
            </w:tcBorders>
          </w:tcPr>
          <w:p>
            <w:pPr>
              <w:spacing w:after="0"/>
              <w:rPr>
                <w:sz w:val="20"/>
                <w:szCs w:val="20"/>
                <w:color w:val="auto"/>
              </w:rPr>
            </w:pPr>
          </w:p>
        </w:tc>
        <w:tc>
          <w:tcPr>
            <w:tcW w:w="2820" w:type="dxa"/>
            <w:vAlign w:val="bottom"/>
            <w:tcBorders>
              <w:bottom w:val="single" w:sz="8" w:color="auto"/>
            </w:tcBorders>
          </w:tcPr>
          <w:p>
            <w:pPr>
              <w:ind w:left="660"/>
              <w:spacing w:after="0"/>
              <w:rPr>
                <w:sz w:val="20"/>
                <w:szCs w:val="20"/>
                <w:color w:val="auto"/>
              </w:rPr>
            </w:pPr>
            <w:r>
              <w:rPr>
                <w:rFonts w:ascii="Arial" w:cs="Arial" w:eastAsia="Arial" w:hAnsi="Arial"/>
                <w:sz w:val="19"/>
                <w:szCs w:val="19"/>
                <w:color w:val="auto"/>
              </w:rPr>
              <w:t>Unobservable Input</w:t>
            </w:r>
          </w:p>
        </w:tc>
        <w:tc>
          <w:tcPr>
            <w:tcW w:w="220" w:type="dxa"/>
            <w:vAlign w:val="bottom"/>
            <w:tcBorders>
              <w:bottom w:val="single" w:sz="8" w:color="CCEEFF"/>
            </w:tcBorders>
          </w:tcPr>
          <w:p>
            <w:pPr>
              <w:spacing w:after="0"/>
              <w:rPr>
                <w:sz w:val="20"/>
                <w:szCs w:val="20"/>
                <w:color w:val="auto"/>
              </w:rPr>
            </w:pPr>
          </w:p>
        </w:tc>
        <w:tc>
          <w:tcPr>
            <w:tcW w:w="2600" w:type="dxa"/>
            <w:vAlign w:val="bottom"/>
            <w:tcBorders>
              <w:bottom w:val="single" w:sz="8" w:color="auto"/>
            </w:tcBorders>
          </w:tcPr>
          <w:p>
            <w:pPr>
              <w:ind w:left="280"/>
              <w:spacing w:after="0"/>
              <w:rPr>
                <w:sz w:val="20"/>
                <w:szCs w:val="20"/>
                <w:color w:val="auto"/>
              </w:rPr>
            </w:pPr>
            <w:r>
              <w:rPr>
                <w:rFonts w:ascii="Arial" w:cs="Arial" w:eastAsia="Arial" w:hAnsi="Arial"/>
                <w:sz w:val="19"/>
                <w:szCs w:val="19"/>
                <w:color w:val="auto"/>
                <w:w w:val="99"/>
              </w:rPr>
              <w:t>Range (Weighted Average)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40" w:type="dxa"/>
            <w:vAlign w:val="bottom"/>
            <w:shd w:val="clear" w:color="auto" w:fill="CCEEFF"/>
          </w:tcPr>
          <w:p>
            <w:pPr>
              <w:spacing w:after="0" w:line="173" w:lineRule="exact"/>
              <w:rPr>
                <w:sz w:val="20"/>
                <w:szCs w:val="20"/>
                <w:color w:val="auto"/>
              </w:rPr>
            </w:pPr>
            <w:r>
              <w:rPr>
                <w:rFonts w:ascii="Arial" w:cs="Arial" w:eastAsia="Arial" w:hAnsi="Arial"/>
                <w:sz w:val="19"/>
                <w:szCs w:val="19"/>
                <w:color w:val="auto"/>
              </w:rPr>
              <w:t>Auction Rate Securities:</w:t>
            </w:r>
          </w:p>
        </w:tc>
        <w:tc>
          <w:tcPr>
            <w:tcW w:w="220" w:type="dxa"/>
            <w:vAlign w:val="bottom"/>
            <w:shd w:val="clear" w:color="auto" w:fill="CCEEFF"/>
          </w:tcPr>
          <w:p>
            <w:pPr>
              <w:spacing w:after="0"/>
              <w:rPr>
                <w:sz w:val="15"/>
                <w:szCs w:val="15"/>
                <w:color w:val="auto"/>
              </w:rPr>
            </w:pPr>
          </w:p>
        </w:tc>
        <w:tc>
          <w:tcPr>
            <w:tcW w:w="2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ind w:left="160"/>
              <w:spacing w:after="0" w:line="216" w:lineRule="exact"/>
              <w:rPr>
                <w:sz w:val="20"/>
                <w:szCs w:val="20"/>
                <w:color w:val="auto"/>
              </w:rPr>
            </w:pPr>
            <w:r>
              <w:rPr>
                <w:rFonts w:ascii="Arial" w:cs="Arial" w:eastAsia="Arial" w:hAnsi="Arial"/>
                <w:sz w:val="19"/>
                <w:szCs w:val="19"/>
                <w:color w:val="auto"/>
              </w:rPr>
              <w:t>Trading</w:t>
            </w:r>
          </w:p>
        </w:tc>
        <w:tc>
          <w:tcPr>
            <w:tcW w:w="2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line="216" w:lineRule="exact"/>
              <w:rPr>
                <w:sz w:val="20"/>
                <w:szCs w:val="20"/>
                <w:color w:val="auto"/>
              </w:rPr>
            </w:pPr>
            <w:r>
              <w:rPr>
                <w:rFonts w:ascii="Arial" w:cs="Arial" w:eastAsia="Arial" w:hAnsi="Arial"/>
                <w:sz w:val="19"/>
                <w:szCs w:val="19"/>
                <w:color w:val="auto"/>
              </w:rPr>
              <w:t>Discounted cash flow</w:t>
            </w:r>
          </w:p>
        </w:tc>
        <w:tc>
          <w:tcPr>
            <w:tcW w:w="3020" w:type="dxa"/>
            <w:vAlign w:val="bottom"/>
            <w:gridSpan w:val="2"/>
            <w:shd w:val="clear" w:color="auto" w:fill="CCEEFF"/>
          </w:tcPr>
          <w:p>
            <w:pPr>
              <w:ind w:left="200"/>
              <w:spacing w:after="0" w:line="216" w:lineRule="exact"/>
              <w:rPr>
                <w:sz w:val="20"/>
                <w:szCs w:val="20"/>
                <w:color w:val="auto"/>
              </w:rPr>
            </w:pPr>
            <w:r>
              <w:rPr>
                <w:rFonts w:ascii="Arial" w:cs="Arial" w:eastAsia="Arial" w:hAnsi="Arial"/>
                <w:sz w:val="19"/>
                <w:szCs w:val="19"/>
                <w:color w:val="auto"/>
              </w:rPr>
              <w:t>Maximum rate probability</w:t>
            </w:r>
          </w:p>
        </w:tc>
        <w:tc>
          <w:tcPr>
            <w:tcW w:w="2820" w:type="dxa"/>
            <w:vAlign w:val="bottom"/>
            <w:gridSpan w:val="2"/>
            <w:shd w:val="clear" w:color="auto" w:fill="CCEEFF"/>
          </w:tcPr>
          <w:p>
            <w:pPr>
              <w:ind w:left="220"/>
              <w:spacing w:after="0" w:line="216" w:lineRule="exact"/>
              <w:rPr>
                <w:sz w:val="20"/>
                <w:szCs w:val="20"/>
                <w:color w:val="auto"/>
              </w:rPr>
            </w:pPr>
            <w:r>
              <w:rPr>
                <w:rFonts w:ascii="Arial" w:cs="Arial" w:eastAsia="Arial" w:hAnsi="Arial"/>
                <w:sz w:val="19"/>
                <w:szCs w:val="19"/>
                <w:color w:val="auto"/>
              </w:rPr>
              <w:t>0.35%-1.62% (0.89%)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ind w:left="200"/>
              <w:spacing w:after="0" w:line="216" w:lineRule="exact"/>
              <w:rPr>
                <w:sz w:val="20"/>
                <w:szCs w:val="20"/>
                <w:color w:val="auto"/>
              </w:rPr>
            </w:pPr>
            <w:r>
              <w:rPr>
                <w:rFonts w:ascii="Arial" w:cs="Arial" w:eastAsia="Arial" w:hAnsi="Arial"/>
                <w:sz w:val="19"/>
                <w:szCs w:val="19"/>
                <w:color w:val="auto"/>
              </w:rPr>
              <w:t>Principal returned probability</w:t>
            </w:r>
          </w:p>
        </w:tc>
        <w:tc>
          <w:tcPr>
            <w:tcW w:w="2820" w:type="dxa"/>
            <w:vAlign w:val="bottom"/>
            <w:gridSpan w:val="2"/>
            <w:shd w:val="clear" w:color="auto" w:fill="CCEEFF"/>
          </w:tcPr>
          <w:p>
            <w:pPr>
              <w:ind w:left="220"/>
              <w:spacing w:after="0" w:line="216" w:lineRule="exact"/>
              <w:rPr>
                <w:sz w:val="20"/>
                <w:szCs w:val="20"/>
                <w:color w:val="auto"/>
              </w:rPr>
            </w:pPr>
            <w:r>
              <w:rPr>
                <w:rFonts w:ascii="Arial" w:cs="Arial" w:eastAsia="Arial" w:hAnsi="Arial"/>
                <w:sz w:val="19"/>
                <w:szCs w:val="19"/>
                <w:color w:val="auto"/>
              </w:rPr>
              <w:t>86.51%-95.54% (87.55%)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line="216" w:lineRule="exact"/>
              <w:rPr>
                <w:sz w:val="20"/>
                <w:szCs w:val="20"/>
                <w:color w:val="auto"/>
              </w:rPr>
            </w:pPr>
            <w:r>
              <w:rPr>
                <w:rFonts w:ascii="Arial" w:cs="Arial" w:eastAsia="Arial" w:hAnsi="Arial"/>
                <w:sz w:val="19"/>
                <w:szCs w:val="19"/>
                <w:color w:val="auto"/>
              </w:rPr>
              <w:t>Default probability</w:t>
            </w:r>
          </w:p>
        </w:tc>
        <w:tc>
          <w:tcPr>
            <w:tcW w:w="2820" w:type="dxa"/>
            <w:vAlign w:val="bottom"/>
            <w:gridSpan w:val="2"/>
            <w:shd w:val="clear" w:color="auto" w:fill="CCEEFF"/>
          </w:tcPr>
          <w:p>
            <w:pPr>
              <w:ind w:left="220"/>
              <w:spacing w:after="0" w:line="216" w:lineRule="exact"/>
              <w:rPr>
                <w:sz w:val="20"/>
                <w:szCs w:val="20"/>
                <w:color w:val="auto"/>
              </w:rPr>
            </w:pPr>
            <w:r>
              <w:rPr>
                <w:rFonts w:ascii="Arial" w:cs="Arial" w:eastAsia="Arial" w:hAnsi="Arial"/>
                <w:sz w:val="19"/>
                <w:szCs w:val="19"/>
                <w:color w:val="auto"/>
              </w:rPr>
              <w:t>3.98%-12.14% (11.57%)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line="216" w:lineRule="exact"/>
              <w:rPr>
                <w:sz w:val="20"/>
                <w:szCs w:val="20"/>
                <w:color w:val="auto"/>
              </w:rPr>
            </w:pPr>
            <w:r>
              <w:rPr>
                <w:rFonts w:ascii="Arial" w:cs="Arial" w:eastAsia="Arial" w:hAnsi="Arial"/>
                <w:sz w:val="19"/>
                <w:szCs w:val="19"/>
                <w:color w:val="auto"/>
              </w:rPr>
              <w:t>Liquidity risk</w:t>
            </w:r>
          </w:p>
        </w:tc>
        <w:tc>
          <w:tcPr>
            <w:tcW w:w="2820" w:type="dxa"/>
            <w:vAlign w:val="bottom"/>
            <w:gridSpan w:val="2"/>
            <w:shd w:val="clear" w:color="auto" w:fill="CCEEFF"/>
          </w:tcPr>
          <w:p>
            <w:pPr>
              <w:ind w:left="220"/>
              <w:spacing w:after="0" w:line="216" w:lineRule="exact"/>
              <w:rPr>
                <w:sz w:val="20"/>
                <w:szCs w:val="20"/>
                <w:color w:val="auto"/>
              </w:rPr>
            </w:pPr>
            <w:r>
              <w:rPr>
                <w:rFonts w:ascii="Arial" w:cs="Arial" w:eastAsia="Arial" w:hAnsi="Arial"/>
                <w:sz w:val="19"/>
                <w:szCs w:val="19"/>
                <w:color w:val="auto"/>
              </w:rPr>
              <w:t>3.50%-3.50% (3.50%)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9"/>
                <w:szCs w:val="19"/>
                <w:color w:val="auto"/>
              </w:rPr>
              <w:t>Recovery rate</w:t>
            </w:r>
          </w:p>
        </w:tc>
        <w:tc>
          <w:tcPr>
            <w:tcW w:w="2820" w:type="dxa"/>
            <w:vAlign w:val="bottom"/>
            <w:gridSpan w:val="2"/>
            <w:shd w:val="clear" w:color="auto" w:fill="CCEEFF"/>
          </w:tcPr>
          <w:p>
            <w:pPr>
              <w:ind w:left="220"/>
              <w:spacing w:after="0"/>
              <w:rPr>
                <w:sz w:val="20"/>
                <w:szCs w:val="20"/>
                <w:color w:val="auto"/>
              </w:rPr>
            </w:pPr>
            <w:r>
              <w:rPr>
                <w:rFonts w:ascii="Arial" w:cs="Arial" w:eastAsia="Arial" w:hAnsi="Arial"/>
                <w:sz w:val="19"/>
                <w:szCs w:val="19"/>
                <w:color w:val="auto"/>
              </w:rPr>
              <w:t>60-60 (60)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740" w:type="dxa"/>
            <w:vAlign w:val="bottom"/>
          </w:tcPr>
          <w:p>
            <w:pPr>
              <w:spacing w:after="0" w:line="193" w:lineRule="exact"/>
              <w:rPr>
                <w:sz w:val="20"/>
                <w:szCs w:val="20"/>
                <w:color w:val="auto"/>
              </w:rPr>
            </w:pPr>
            <w:r>
              <w:rPr>
                <w:rFonts w:ascii="Arial" w:cs="Arial" w:eastAsia="Arial" w:hAnsi="Arial"/>
                <w:sz w:val="19"/>
                <w:szCs w:val="19"/>
                <w:color w:val="auto"/>
              </w:rPr>
              <w:t>Auction Rate Securities:</w:t>
            </w:r>
          </w:p>
        </w:tc>
        <w:tc>
          <w:tcPr>
            <w:tcW w:w="2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740" w:type="dxa"/>
            <w:vAlign w:val="bottom"/>
          </w:tcPr>
          <w:p>
            <w:pPr>
              <w:ind w:left="160"/>
              <w:spacing w:after="0"/>
              <w:rPr>
                <w:sz w:val="20"/>
                <w:szCs w:val="20"/>
                <w:color w:val="auto"/>
              </w:rPr>
            </w:pPr>
            <w:r>
              <w:rPr>
                <w:rFonts w:ascii="Arial" w:cs="Arial" w:eastAsia="Arial" w:hAnsi="Arial"/>
                <w:sz w:val="19"/>
                <w:szCs w:val="19"/>
                <w:color w:val="auto"/>
              </w:rPr>
              <w:t>Available-for-sale</w:t>
            </w:r>
          </w:p>
        </w:tc>
        <w:tc>
          <w:tcPr>
            <w:tcW w:w="220" w:type="dxa"/>
            <w:vAlign w:val="bottom"/>
          </w:tcPr>
          <w:p>
            <w:pPr>
              <w:spacing w:after="0"/>
              <w:rPr>
                <w:sz w:val="20"/>
                <w:szCs w:val="20"/>
                <w:color w:val="auto"/>
              </w:rPr>
            </w:pPr>
          </w:p>
        </w:tc>
        <w:tc>
          <w:tcPr>
            <w:tcW w:w="2600" w:type="dxa"/>
            <w:vAlign w:val="bottom"/>
          </w:tcPr>
          <w:p>
            <w:pPr>
              <w:spacing w:after="0"/>
              <w:rPr>
                <w:sz w:val="20"/>
                <w:szCs w:val="20"/>
                <w:color w:val="auto"/>
              </w:rPr>
            </w:pPr>
            <w:r>
              <w:rPr>
                <w:rFonts w:ascii="Arial" w:cs="Arial" w:eastAsia="Arial" w:hAnsi="Arial"/>
                <w:sz w:val="19"/>
                <w:szCs w:val="19"/>
                <w:color w:val="auto"/>
              </w:rPr>
              <w:t>Market comparable bonds</w:t>
            </w:r>
          </w:p>
        </w:tc>
        <w:tc>
          <w:tcPr>
            <w:tcW w:w="3020" w:type="dxa"/>
            <w:vAlign w:val="bottom"/>
            <w:gridSpan w:val="2"/>
          </w:tcPr>
          <w:p>
            <w:pPr>
              <w:ind w:left="200"/>
              <w:spacing w:after="0"/>
              <w:rPr>
                <w:sz w:val="20"/>
                <w:szCs w:val="20"/>
                <w:color w:val="auto"/>
              </w:rPr>
            </w:pPr>
            <w:r>
              <w:rPr>
                <w:rFonts w:ascii="Arial" w:cs="Arial" w:eastAsia="Arial" w:hAnsi="Arial"/>
                <w:sz w:val="19"/>
                <w:szCs w:val="19"/>
                <w:color w:val="auto"/>
              </w:rPr>
              <w:t>Market price</w:t>
            </w:r>
          </w:p>
        </w:tc>
        <w:tc>
          <w:tcPr>
            <w:tcW w:w="2820" w:type="dxa"/>
            <w:vAlign w:val="bottom"/>
            <w:gridSpan w:val="2"/>
          </w:tcPr>
          <w:p>
            <w:pPr>
              <w:ind w:left="220"/>
              <w:spacing w:after="0"/>
              <w:rPr>
                <w:sz w:val="20"/>
                <w:szCs w:val="20"/>
                <w:color w:val="auto"/>
              </w:rPr>
            </w:pPr>
            <w:r>
              <w:rPr>
                <w:rFonts w:ascii="Arial" w:cs="Arial" w:eastAsia="Arial" w:hAnsi="Arial"/>
                <w:sz w:val="19"/>
                <w:szCs w:val="19"/>
                <w:color w:val="auto"/>
              </w:rPr>
              <w:t>54-64 (60)</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0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line="216" w:lineRule="exact"/>
              <w:rPr>
                <w:sz w:val="20"/>
                <w:szCs w:val="20"/>
                <w:color w:val="auto"/>
              </w:rPr>
            </w:pPr>
            <w:r>
              <w:rPr>
                <w:rFonts w:ascii="Arial" w:cs="Arial" w:eastAsia="Arial" w:hAnsi="Arial"/>
                <w:sz w:val="19"/>
                <w:szCs w:val="19"/>
                <w:color w:val="auto"/>
              </w:rPr>
              <w:t>Put Options</w:t>
            </w:r>
          </w:p>
        </w:tc>
        <w:tc>
          <w:tcPr>
            <w:tcW w:w="2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line="216" w:lineRule="exact"/>
              <w:rPr>
                <w:sz w:val="20"/>
                <w:szCs w:val="20"/>
                <w:color w:val="auto"/>
              </w:rPr>
            </w:pPr>
            <w:r>
              <w:rPr>
                <w:rFonts w:ascii="Arial" w:cs="Arial" w:eastAsia="Arial" w:hAnsi="Arial"/>
                <w:sz w:val="19"/>
                <w:szCs w:val="19"/>
                <w:color w:val="auto"/>
              </w:rPr>
              <w:t>Discounted cash flow</w:t>
            </w:r>
          </w:p>
        </w:tc>
        <w:tc>
          <w:tcPr>
            <w:tcW w:w="3020" w:type="dxa"/>
            <w:vAlign w:val="bottom"/>
            <w:gridSpan w:val="2"/>
            <w:shd w:val="clear" w:color="auto" w:fill="CCEEFF"/>
          </w:tcPr>
          <w:p>
            <w:pPr>
              <w:ind w:left="200"/>
              <w:spacing w:after="0" w:line="216" w:lineRule="exact"/>
              <w:rPr>
                <w:sz w:val="20"/>
                <w:szCs w:val="20"/>
                <w:color w:val="auto"/>
              </w:rPr>
            </w:pPr>
            <w:r>
              <w:rPr>
                <w:rFonts w:ascii="Arial" w:cs="Arial" w:eastAsia="Arial" w:hAnsi="Arial"/>
                <w:sz w:val="19"/>
                <w:szCs w:val="19"/>
                <w:color w:val="auto"/>
              </w:rPr>
              <w:t>Counterparty risk</w:t>
            </w:r>
          </w:p>
        </w:tc>
        <w:tc>
          <w:tcPr>
            <w:tcW w:w="2820" w:type="dxa"/>
            <w:vAlign w:val="bottom"/>
            <w:gridSpan w:val="2"/>
            <w:shd w:val="clear" w:color="auto" w:fill="CCEEFF"/>
          </w:tcPr>
          <w:p>
            <w:pPr>
              <w:ind w:left="220"/>
              <w:spacing w:after="0" w:line="216" w:lineRule="exact"/>
              <w:rPr>
                <w:sz w:val="20"/>
                <w:szCs w:val="20"/>
                <w:color w:val="auto"/>
              </w:rPr>
            </w:pPr>
            <w:r>
              <w:rPr>
                <w:rFonts w:ascii="Arial" w:cs="Arial" w:eastAsia="Arial" w:hAnsi="Arial"/>
                <w:sz w:val="19"/>
                <w:szCs w:val="19"/>
                <w:color w:val="auto"/>
              </w:rPr>
              <w:t>1.92%-2.69% (2.31%)</w:t>
            </w: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At June 30, 2012, the Company held auction rate securities with a face value of $28.3 million (amortized cost basis of $20.9 million). A Level 3 valuation was performed on the Company’s auction rate securities as of June 30, 2012 resulting in a fair value of $3.3 million for the Company’s available-for-sale auction rate securities (after a $5.0 million impairment) and $17.6 million for the Company’s trading auction rate securities (after a $2.4 million impairment), which are included in long-term investments.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In June 2011, the Company entered into an agreement (the “2011 ARS Agreement”), related to $24.5 million of par value auction rate securities (the “2011 ARS Securities”). Under the 2011 ARS Agreement, the Company has the right to sell the 2011 ARS Securities including all accrued but unpaid interest thereon (the “2011 Put Option”) as follows: (i) on or after July 1, 2013, up to $1.0 million aggregate par value; (ii) on or after October 1, 2013, up to an additional $1.0 million aggregate par value; and</w:t>
      </w:r>
    </w:p>
    <w:p>
      <w:pPr>
        <w:spacing w:after="0" w:line="4" w:lineRule="exact"/>
        <w:rPr>
          <w:sz w:val="20"/>
          <w:szCs w:val="20"/>
          <w:color w:val="auto"/>
        </w:rPr>
      </w:pPr>
    </w:p>
    <w:p>
      <w:pPr>
        <w:jc w:val="both"/>
        <w:ind w:firstLine="8"/>
        <w:spacing w:after="0" w:line="272" w:lineRule="auto"/>
        <w:tabs>
          <w:tab w:leader="none" w:pos="399" w:val="left"/>
        </w:tabs>
        <w:numPr>
          <w:ilvl w:val="0"/>
          <w:numId w:val="6"/>
        </w:numPr>
        <w:rPr>
          <w:rFonts w:ascii="Arial" w:cs="Arial" w:eastAsia="Arial" w:hAnsi="Arial"/>
          <w:sz w:val="19"/>
          <w:szCs w:val="19"/>
          <w:color w:val="auto"/>
        </w:rPr>
      </w:pPr>
      <w:r>
        <w:rPr>
          <w:rFonts w:ascii="Arial" w:cs="Arial" w:eastAsia="Arial" w:hAnsi="Arial"/>
          <w:sz w:val="19"/>
          <w:szCs w:val="19"/>
          <w:color w:val="auto"/>
        </w:rPr>
        <w:t>in quarterly installments thereafter based on a formula of the then outstanding 2011 ARS Securities, as adjusted for normal market redemptions, with full sale rights available on or after April 1, 2016. The 2011 ARS Securities will continue to accrue interest until redeemed through the 2011 Put Option, or as determined by the auction process, or should the auction process fail, the terms outlined in the prospectus of the respective 2011 ARS Securities. Under the 2011 ARS Agreement, the Company has the obligation, should it receive written notification from the put issuer, to sell the 2011 ARS Securities at par plus all accrued but unpaid interest. During the six-months ended June 30, 2012, $0.8 million of 2011 ARS Securities were redeemed through normal market channels ($3.7 million of par value 2011 ARS Securities were redeemed at par through normal market channels during the year ended December 31, 2011). The 2011 Put Option does not meet the definition of derivative instruments under ASC 815. Therefore, the Company elected the fair value option under ASC 825-10 in accounting for the 2011 Put Option. As of June 30,</w:t>
      </w:r>
    </w:p>
    <w:p>
      <w:pPr>
        <w:sectPr>
          <w:pgSz w:w="11900" w:h="16921" w:orient="portrait"/>
          <w:cols w:equalWidth="0" w:num="1">
            <w:col w:w="11420"/>
          </w:cols>
          <w:pgMar w:left="240" w:top="121" w:right="239" w:bottom="0" w:gutter="0" w:footer="0" w:header="0"/>
        </w:sectPr>
      </w:pPr>
    </w:p>
    <w:bookmarkStart w:id="9" w:name="page10"/>
    <w:bookmarkEnd w:id="9"/>
    <w:p>
      <w:pPr>
        <w:jc w:val="both"/>
        <w:spacing w:after="0" w:line="251" w:lineRule="auto"/>
        <w:rPr>
          <w:sz w:val="20"/>
          <w:szCs w:val="20"/>
          <w:color w:val="auto"/>
        </w:rPr>
      </w:pPr>
      <w:r>
        <w:rPr>
          <w:rFonts w:ascii="Arial" w:cs="Arial" w:eastAsia="Arial" w:hAnsi="Arial"/>
          <w:sz w:val="22"/>
          <w:szCs w:val="22"/>
          <w:color w:val="auto"/>
        </w:rPr>
        <w:t>2012, the Company recorded $1.8 million as the fair market value of the 2011 Put Option, included in other assets in the condensed consolidated balance sheet.</w:t>
      </w:r>
    </w:p>
    <w:p>
      <w:pPr>
        <w:spacing w:after="0" w:line="17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In March 2010, the Company entered into an agreement (the “2010 ARS Agreement”), related to $54.2 million of par value auction rate securities (the “2010 ARS Securities”). Under the 2010 ARS Agreement, the Company had the right, but not the obligation, to sell the 2010 ARS Securities including all accrued but unpaid interest thereon (the “2010 Put Option”), under various terms. During the three-months ended March 31, 2012, the remaining $15.7 million of par value 2010 ARS Securities were redeemed at par through the exercise of the 2010 Put Option, which exhausted the Company’s rights under the 2010 ARS Agreement (as of December 31, 2011, $38.5 million of par value 2010 ARS Securities had been redeemed at par through the exercise of the 2010 Put Option as well as through normal market channels).</w:t>
      </w:r>
    </w:p>
    <w:p>
      <w:pPr>
        <w:spacing w:after="0" w:line="20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Company holds additional auction rate securities that do not have a related put option. These auction rate securities continue to be classified as available-for-sale securities. The Company intends to retain such investments until the earlier of the recovery in market value or maturity.</w:t>
      </w:r>
    </w:p>
    <w:p>
      <w:pPr>
        <w:spacing w:after="0" w:line="21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9"/>
          <w:szCs w:val="19"/>
          <w:color w:val="auto"/>
        </w:rPr>
        <w:t>The net effect of (i) the revaluation of the 2011 Put Option and the 2010 Put Option as of June 30, 2012; (ii) the revaluation of the Company’s trading auction rate securities as of June 30, 2012; (iii) the redemption at par of certain 2011 ARS Securities;</w:t>
      </w:r>
    </w:p>
    <w:p>
      <w:pPr>
        <w:spacing w:after="0" w:line="2" w:lineRule="exact"/>
        <w:rPr>
          <w:sz w:val="20"/>
          <w:szCs w:val="20"/>
          <w:color w:val="auto"/>
        </w:rPr>
      </w:pPr>
    </w:p>
    <w:p>
      <w:pPr>
        <w:jc w:val="both"/>
        <w:ind w:firstLine="8"/>
        <w:spacing w:after="0" w:line="271" w:lineRule="auto"/>
        <w:tabs>
          <w:tab w:leader="none" w:pos="385"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redemption at par of certain 2010 ARS Securities, including those redeemed at par through the exercise of the 2010 Put Option; and (v) a recognized gain resulting from the redemption at par of a previously other-than-temporary impaired security; resulted in a (loss) gain of ($0.03) million and $0.4 million, which is included in other (expense) income for the three- and six-months ended June 30, 2012, respectively. The net effect of (i) the acquisition of the 2011 Put Option during the second fiscal quarter of 2011; (ii) the revaluation of the 2011 Put Option and the 2010 Put Option as of June 30, 2011; (iii) the transfer from available-for-sale to trading of the 2011 ARS Securities during the second fiscal quarter of 2011; (iv) the revaluation of the Company’s trading auction rate securities as of June 30, 2011; (v) the redemption at par of certain 2010 ARS Securities, including those redeemed through the exercise of the 2010 Put Option; and (vi) a recognized gain resulting from the redemption at par of a previously other-than-temporary impaired security during the first fiscal quarter of 2011, resulted in a (loss) of ($0.3) million and ($0.1) million included in other (expense) income for the three- and six-months ended June 30, 2011, respectively.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4"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The following table provides a summary reconciliation of the Company’s financial assets that are recorded at fair value on a recurring basis using significant unobservable inputs (Level 3):</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0" w:type="dxa"/>
            <w:vAlign w:val="bottom"/>
            <w:gridSpan w:val="4"/>
          </w:tcPr>
          <w:p>
            <w:pPr>
              <w:jc w:val="center"/>
              <w:ind w:left="336"/>
              <w:spacing w:after="0"/>
              <w:rPr>
                <w:sz w:val="20"/>
                <w:szCs w:val="20"/>
                <w:color w:val="auto"/>
              </w:rPr>
            </w:pPr>
            <w:r>
              <w:rPr>
                <w:rFonts w:ascii="Arial" w:cs="Arial" w:eastAsia="Arial" w:hAnsi="Arial"/>
                <w:sz w:val="21"/>
                <w:szCs w:val="21"/>
                <w:color w:val="auto"/>
                <w:w w:val="89"/>
              </w:rPr>
              <w:t>Three-Months Ended</w:t>
            </w: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00" w:type="dxa"/>
            <w:vAlign w:val="bottom"/>
            <w:gridSpan w:val="3"/>
          </w:tcPr>
          <w:p>
            <w:pPr>
              <w:jc w:val="center"/>
              <w:ind w:left="236"/>
              <w:spacing w:after="0"/>
              <w:rPr>
                <w:sz w:val="20"/>
                <w:szCs w:val="20"/>
                <w:color w:val="auto"/>
              </w:rPr>
            </w:pPr>
            <w:r>
              <w:rPr>
                <w:rFonts w:ascii="Arial" w:cs="Arial" w:eastAsia="Arial" w:hAnsi="Arial"/>
                <w:sz w:val="21"/>
                <w:szCs w:val="21"/>
                <w:color w:val="auto"/>
                <w:w w:val="89"/>
              </w:rPr>
              <w:t>Three-Months Ended</w:t>
            </w:r>
          </w:p>
        </w:tc>
        <w:tc>
          <w:tcPr>
            <w:tcW w:w="600" w:type="dxa"/>
            <w:vAlign w:val="bottom"/>
          </w:tcPr>
          <w:p>
            <w:pPr>
              <w:spacing w:after="0"/>
              <w:rPr>
                <w:sz w:val="21"/>
                <w:szCs w:val="21"/>
                <w:color w:val="auto"/>
              </w:rPr>
            </w:pPr>
          </w:p>
        </w:tc>
      </w:tr>
      <w:tr>
        <w:trPr>
          <w:trHeight w:val="256"/>
        </w:trPr>
        <w:tc>
          <w:tcPr>
            <w:tcW w:w="5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4"/>
          </w:tcPr>
          <w:p>
            <w:pPr>
              <w:jc w:val="center"/>
              <w:ind w:left="336"/>
              <w:spacing w:after="0"/>
              <w:rPr>
                <w:sz w:val="20"/>
                <w:szCs w:val="20"/>
                <w:color w:val="auto"/>
              </w:rPr>
            </w:pPr>
            <w:r>
              <w:rPr>
                <w:rFonts w:ascii="Arial" w:cs="Arial" w:eastAsia="Arial" w:hAnsi="Arial"/>
                <w:sz w:val="21"/>
                <w:szCs w:val="21"/>
                <w:color w:val="auto"/>
                <w:w w:val="87"/>
              </w:rPr>
              <w:t>June 30, 2012</w:t>
            </w:r>
          </w:p>
        </w:tc>
        <w:tc>
          <w:tcPr>
            <w:tcW w:w="6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gridSpan w:val="3"/>
          </w:tcPr>
          <w:p>
            <w:pPr>
              <w:jc w:val="center"/>
              <w:ind w:left="236"/>
              <w:spacing w:after="0"/>
              <w:rPr>
                <w:sz w:val="20"/>
                <w:szCs w:val="20"/>
                <w:color w:val="auto"/>
              </w:rPr>
            </w:pPr>
            <w:r>
              <w:rPr>
                <w:rFonts w:ascii="Arial" w:cs="Arial" w:eastAsia="Arial" w:hAnsi="Arial"/>
                <w:sz w:val="21"/>
                <w:szCs w:val="21"/>
                <w:color w:val="auto"/>
                <w:w w:val="87"/>
              </w:rPr>
              <w:t>June 30, 2011</w:t>
            </w:r>
          </w:p>
        </w:tc>
        <w:tc>
          <w:tcPr>
            <w:tcW w:w="600" w:type="dxa"/>
            <w:vAlign w:val="bottom"/>
            <w:tcBorders>
              <w:bottom w:val="single" w:sz="8" w:color="auto"/>
            </w:tcBorders>
          </w:tcPr>
          <w:p>
            <w:pPr>
              <w:spacing w:after="0"/>
              <w:rPr>
                <w:sz w:val="22"/>
                <w:szCs w:val="22"/>
                <w:color w:val="auto"/>
              </w:rPr>
            </w:pPr>
          </w:p>
        </w:tc>
      </w:tr>
      <w:tr>
        <w:trPr>
          <w:trHeight w:val="223"/>
        </w:trPr>
        <w:tc>
          <w:tcPr>
            <w:tcW w:w="5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3"/>
          </w:tcPr>
          <w:p>
            <w:pPr>
              <w:jc w:val="center"/>
              <w:ind w:right="640"/>
              <w:spacing w:after="0" w:line="223" w:lineRule="exact"/>
              <w:rPr>
                <w:sz w:val="20"/>
                <w:szCs w:val="20"/>
                <w:color w:val="auto"/>
              </w:rPr>
            </w:pPr>
            <w:r>
              <w:rPr>
                <w:rFonts w:ascii="Arial" w:cs="Arial" w:eastAsia="Arial" w:hAnsi="Arial"/>
                <w:sz w:val="21"/>
                <w:szCs w:val="21"/>
                <w:color w:val="auto"/>
                <w:w w:val="97"/>
              </w:rPr>
              <w:t>Auction</w:t>
            </w: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center"/>
              <w:ind w:right="620"/>
              <w:spacing w:after="0" w:line="223" w:lineRule="exact"/>
              <w:rPr>
                <w:sz w:val="20"/>
                <w:szCs w:val="20"/>
                <w:color w:val="auto"/>
              </w:rPr>
            </w:pPr>
            <w:r>
              <w:rPr>
                <w:rFonts w:ascii="Arial" w:cs="Arial" w:eastAsia="Arial" w:hAnsi="Arial"/>
                <w:sz w:val="21"/>
                <w:szCs w:val="21"/>
                <w:color w:val="auto"/>
                <w:w w:val="94"/>
              </w:rPr>
              <w:t>Auction</w:t>
            </w:r>
          </w:p>
        </w:tc>
        <w:tc>
          <w:tcPr>
            <w:tcW w:w="74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43"/>
        </w:trPr>
        <w:tc>
          <w:tcPr>
            <w:tcW w:w="5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gridSpan w:val="3"/>
          </w:tcPr>
          <w:p>
            <w:pPr>
              <w:jc w:val="center"/>
              <w:ind w:right="620"/>
              <w:spacing w:after="0"/>
              <w:rPr>
                <w:sz w:val="20"/>
                <w:szCs w:val="20"/>
                <w:color w:val="auto"/>
              </w:rPr>
            </w:pPr>
            <w:r>
              <w:rPr>
                <w:rFonts w:ascii="Arial" w:cs="Arial" w:eastAsia="Arial" w:hAnsi="Arial"/>
                <w:sz w:val="21"/>
                <w:szCs w:val="21"/>
                <w:color w:val="auto"/>
                <w:w w:val="85"/>
              </w:rPr>
              <w:t>Rate</w:t>
            </w: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2"/>
          </w:tcPr>
          <w:p>
            <w:pPr>
              <w:jc w:val="center"/>
              <w:ind w:right="620"/>
              <w:spacing w:after="0"/>
              <w:rPr>
                <w:sz w:val="20"/>
                <w:szCs w:val="20"/>
                <w:color w:val="auto"/>
              </w:rPr>
            </w:pPr>
            <w:r>
              <w:rPr>
                <w:rFonts w:ascii="Arial" w:cs="Arial" w:eastAsia="Arial" w:hAnsi="Arial"/>
                <w:sz w:val="21"/>
                <w:szCs w:val="21"/>
                <w:color w:val="auto"/>
                <w:w w:val="85"/>
              </w:rPr>
              <w:t>Rate</w:t>
            </w: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56"/>
        </w:trPr>
        <w:tc>
          <w:tcPr>
            <w:tcW w:w="5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80" w:type="dxa"/>
            <w:vAlign w:val="bottom"/>
            <w:gridSpan w:val="3"/>
          </w:tcPr>
          <w:p>
            <w:pPr>
              <w:jc w:val="center"/>
              <w:ind w:right="640"/>
              <w:spacing w:after="0"/>
              <w:rPr>
                <w:sz w:val="20"/>
                <w:szCs w:val="20"/>
                <w:color w:val="auto"/>
              </w:rPr>
            </w:pPr>
            <w:r>
              <w:rPr>
                <w:rFonts w:ascii="Arial" w:cs="Arial" w:eastAsia="Arial" w:hAnsi="Arial"/>
                <w:sz w:val="21"/>
                <w:szCs w:val="21"/>
                <w:color w:val="auto"/>
                <w:w w:val="86"/>
              </w:rPr>
              <w:t>Securities</w:t>
            </w:r>
          </w:p>
        </w:tc>
        <w:tc>
          <w:tcPr>
            <w:tcW w:w="1640" w:type="dxa"/>
            <w:vAlign w:val="bottom"/>
            <w:gridSpan w:val="5"/>
          </w:tcPr>
          <w:p>
            <w:pPr>
              <w:ind w:left="220"/>
              <w:spacing w:after="0"/>
              <w:rPr>
                <w:sz w:val="20"/>
                <w:szCs w:val="20"/>
                <w:color w:val="auto"/>
              </w:rPr>
            </w:pPr>
            <w:r>
              <w:rPr>
                <w:rFonts w:ascii="Arial" w:cs="Arial" w:eastAsia="Arial" w:hAnsi="Arial"/>
                <w:sz w:val="21"/>
                <w:szCs w:val="21"/>
                <w:color w:val="auto"/>
              </w:rPr>
              <w:t>Put Options</w:t>
            </w:r>
          </w:p>
        </w:tc>
        <w:tc>
          <w:tcPr>
            <w:tcW w:w="1620" w:type="dxa"/>
            <w:vAlign w:val="bottom"/>
            <w:gridSpan w:val="3"/>
          </w:tcPr>
          <w:p>
            <w:pPr>
              <w:jc w:val="center"/>
              <w:ind w:right="360"/>
              <w:spacing w:after="0"/>
              <w:rPr>
                <w:sz w:val="20"/>
                <w:szCs w:val="20"/>
                <w:color w:val="auto"/>
              </w:rPr>
            </w:pPr>
            <w:r>
              <w:rPr>
                <w:rFonts w:ascii="Arial" w:cs="Arial" w:eastAsia="Arial" w:hAnsi="Arial"/>
                <w:sz w:val="21"/>
                <w:szCs w:val="21"/>
                <w:color w:val="auto"/>
                <w:w w:val="88"/>
              </w:rPr>
              <w:t>Securities</w:t>
            </w:r>
          </w:p>
        </w:tc>
        <w:tc>
          <w:tcPr>
            <w:tcW w:w="1340" w:type="dxa"/>
            <w:vAlign w:val="bottom"/>
            <w:gridSpan w:val="2"/>
          </w:tcPr>
          <w:p>
            <w:pPr>
              <w:jc w:val="right"/>
              <w:ind w:right="76"/>
              <w:spacing w:after="0"/>
              <w:rPr>
                <w:sz w:val="20"/>
                <w:szCs w:val="20"/>
                <w:color w:val="auto"/>
              </w:rPr>
            </w:pPr>
            <w:r>
              <w:rPr>
                <w:rFonts w:ascii="Arial" w:cs="Arial" w:eastAsia="Arial" w:hAnsi="Arial"/>
                <w:sz w:val="21"/>
                <w:szCs w:val="21"/>
                <w:color w:val="auto"/>
              </w:rPr>
              <w:t>Put Options</w:t>
            </w:r>
          </w:p>
        </w:tc>
      </w:tr>
      <w:tr>
        <w:trPr>
          <w:trHeight w:val="237"/>
        </w:trPr>
        <w:tc>
          <w:tcPr>
            <w:tcW w:w="5080" w:type="dxa"/>
            <w:vAlign w:val="bottom"/>
            <w:tcBorders>
              <w:top w:val="single" w:sz="8" w:color="CCEEFF"/>
            </w:tcBorders>
            <w:gridSpan w:val="2"/>
            <w:shd w:val="clear" w:color="auto" w:fill="CCEEFF"/>
          </w:tcPr>
          <w:p>
            <w:pPr>
              <w:spacing w:after="0" w:line="237" w:lineRule="exact"/>
              <w:rPr>
                <w:sz w:val="20"/>
                <w:szCs w:val="20"/>
                <w:color w:val="auto"/>
              </w:rPr>
            </w:pPr>
            <w:r>
              <w:rPr>
                <w:rFonts w:ascii="Arial" w:cs="Arial" w:eastAsia="Arial" w:hAnsi="Arial"/>
                <w:sz w:val="21"/>
                <w:szCs w:val="21"/>
                <w:color w:val="auto"/>
              </w:rPr>
              <w:t>Opening Balance</w:t>
            </w:r>
          </w:p>
        </w:tc>
        <w:tc>
          <w:tcPr>
            <w:tcW w:w="26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1"/>
                <w:szCs w:val="21"/>
                <w:color w:val="auto"/>
              </w:rPr>
              <w:t>$</w:t>
            </w:r>
          </w:p>
        </w:tc>
        <w:tc>
          <w:tcPr>
            <w:tcW w:w="1240" w:type="dxa"/>
            <w:vAlign w:val="bottom"/>
            <w:tcBorders>
              <w:top w:val="single" w:sz="8" w:color="auto"/>
            </w:tcBorders>
            <w:shd w:val="clear" w:color="auto" w:fill="CCEEFF"/>
          </w:tcPr>
          <w:p>
            <w:pPr>
              <w:jc w:val="right"/>
              <w:ind w:right="16"/>
              <w:spacing w:after="0" w:line="237" w:lineRule="exact"/>
              <w:rPr>
                <w:sz w:val="20"/>
                <w:szCs w:val="20"/>
                <w:color w:val="auto"/>
              </w:rPr>
            </w:pPr>
            <w:r>
              <w:rPr>
                <w:rFonts w:ascii="Arial" w:cs="Arial" w:eastAsia="Arial" w:hAnsi="Arial"/>
                <w:sz w:val="21"/>
                <w:szCs w:val="21"/>
                <w:color w:val="auto"/>
              </w:rPr>
              <w:t>21,864</w:t>
            </w:r>
          </w:p>
        </w:tc>
        <w:tc>
          <w:tcPr>
            <w:tcW w:w="2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jc w:val="right"/>
              <w:ind w:right="356"/>
              <w:spacing w:after="0" w:line="237" w:lineRule="exact"/>
              <w:rPr>
                <w:sz w:val="20"/>
                <w:szCs w:val="20"/>
                <w:color w:val="auto"/>
              </w:rPr>
            </w:pPr>
            <w:r>
              <w:rPr>
                <w:rFonts w:ascii="Arial" w:cs="Arial" w:eastAsia="Arial" w:hAnsi="Arial"/>
                <w:sz w:val="21"/>
                <w:szCs w:val="21"/>
                <w:color w:val="auto"/>
              </w:rPr>
              <w:t>$</w:t>
            </w:r>
          </w:p>
        </w:tc>
        <w:tc>
          <w:tcPr>
            <w:tcW w:w="680" w:type="dxa"/>
            <w:vAlign w:val="bottom"/>
            <w:tcBorders>
              <w:top w:val="single" w:sz="8" w:color="auto"/>
            </w:tcBorders>
            <w:shd w:val="clear" w:color="auto" w:fill="CCEEFF"/>
          </w:tcPr>
          <w:p>
            <w:pPr>
              <w:jc w:val="right"/>
              <w:ind w:right="36"/>
              <w:spacing w:after="0" w:line="237" w:lineRule="exact"/>
              <w:rPr>
                <w:sz w:val="20"/>
                <w:szCs w:val="20"/>
                <w:color w:val="auto"/>
              </w:rPr>
            </w:pPr>
            <w:r>
              <w:rPr>
                <w:rFonts w:ascii="Arial" w:cs="Arial" w:eastAsia="Arial" w:hAnsi="Arial"/>
                <w:sz w:val="21"/>
                <w:szCs w:val="21"/>
                <w:color w:val="auto"/>
                <w:w w:val="98"/>
              </w:rPr>
              <w:t>1,649</w:t>
            </w:r>
          </w:p>
        </w:tc>
        <w:tc>
          <w:tcPr>
            <w:tcW w:w="2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1"/>
                <w:szCs w:val="21"/>
                <w:color w:val="auto"/>
              </w:rPr>
              <w:t>$</w:t>
            </w:r>
          </w:p>
        </w:tc>
        <w:tc>
          <w:tcPr>
            <w:tcW w:w="1140" w:type="dxa"/>
            <w:vAlign w:val="bottom"/>
            <w:tcBorders>
              <w:top w:val="single" w:sz="8" w:color="auto"/>
            </w:tcBorders>
            <w:shd w:val="clear" w:color="auto" w:fill="CCEEFF"/>
          </w:tcPr>
          <w:p>
            <w:pPr>
              <w:jc w:val="right"/>
              <w:ind w:right="36"/>
              <w:spacing w:after="0" w:line="237" w:lineRule="exact"/>
              <w:rPr>
                <w:sz w:val="20"/>
                <w:szCs w:val="20"/>
                <w:color w:val="auto"/>
              </w:rPr>
            </w:pPr>
            <w:r>
              <w:rPr>
                <w:rFonts w:ascii="Arial" w:cs="Arial" w:eastAsia="Arial" w:hAnsi="Arial"/>
                <w:sz w:val="21"/>
                <w:szCs w:val="21"/>
                <w:color w:val="auto"/>
              </w:rPr>
              <w:t>67,644</w:t>
            </w:r>
          </w:p>
        </w:tc>
        <w:tc>
          <w:tcPr>
            <w:tcW w:w="220" w:type="dxa"/>
            <w:vAlign w:val="bottom"/>
            <w:tcBorders>
              <w:top w:val="single" w:sz="8" w:color="CCEEFF"/>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jc w:val="right"/>
              <w:ind w:right="396"/>
              <w:spacing w:after="0" w:line="237" w:lineRule="exact"/>
              <w:rPr>
                <w:sz w:val="20"/>
                <w:szCs w:val="20"/>
                <w:color w:val="auto"/>
              </w:rPr>
            </w:pPr>
            <w:r>
              <w:rPr>
                <w:rFonts w:ascii="Arial" w:cs="Arial" w:eastAsia="Arial" w:hAnsi="Arial"/>
                <w:sz w:val="21"/>
                <w:szCs w:val="21"/>
                <w:color w:val="auto"/>
              </w:rPr>
              <w:t>$</w:t>
            </w:r>
          </w:p>
        </w:tc>
        <w:tc>
          <w:tcPr>
            <w:tcW w:w="600" w:type="dxa"/>
            <w:vAlign w:val="bottom"/>
            <w:tcBorders>
              <w:top w:val="single" w:sz="8" w:color="auto"/>
            </w:tcBorders>
            <w:shd w:val="clear" w:color="auto" w:fill="CCEEFF"/>
          </w:tcPr>
          <w:p>
            <w:pPr>
              <w:jc w:val="right"/>
              <w:ind w:right="16"/>
              <w:spacing w:after="0" w:line="237" w:lineRule="exact"/>
              <w:rPr>
                <w:sz w:val="20"/>
                <w:szCs w:val="20"/>
                <w:color w:val="auto"/>
              </w:rPr>
            </w:pPr>
            <w:r>
              <w:rPr>
                <w:rFonts w:ascii="Arial" w:cs="Arial" w:eastAsia="Arial" w:hAnsi="Arial"/>
                <w:sz w:val="21"/>
                <w:szCs w:val="21"/>
                <w:color w:val="auto"/>
                <w:w w:val="87"/>
              </w:rPr>
              <w:t>3,788</w:t>
            </w:r>
          </w:p>
        </w:tc>
      </w:tr>
      <w:tr>
        <w:trPr>
          <w:trHeight w:val="243"/>
        </w:trPr>
        <w:tc>
          <w:tcPr>
            <w:tcW w:w="5080" w:type="dxa"/>
            <w:vAlign w:val="bottom"/>
            <w:gridSpan w:val="2"/>
          </w:tcPr>
          <w:p>
            <w:pPr>
              <w:ind w:left="180"/>
              <w:spacing w:after="0"/>
              <w:rPr>
                <w:sz w:val="20"/>
                <w:szCs w:val="20"/>
                <w:color w:val="auto"/>
              </w:rPr>
            </w:pPr>
            <w:r>
              <w:rPr>
                <w:rFonts w:ascii="Arial" w:cs="Arial" w:eastAsia="Arial" w:hAnsi="Arial"/>
                <w:sz w:val="21"/>
                <w:szCs w:val="21"/>
                <w:color w:val="auto"/>
              </w:rPr>
              <w:t>Transfers into Level 3</w:t>
            </w:r>
          </w:p>
        </w:tc>
        <w:tc>
          <w:tcPr>
            <w:tcW w:w="26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jc w:val="right"/>
              <w:ind w:right="36"/>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21"/>
                <w:szCs w:val="21"/>
                <w:color w:val="auto"/>
              </w:rPr>
              <w:t>-</w:t>
            </w: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jc w:val="right"/>
              <w:ind w:right="16"/>
              <w:spacing w:after="0"/>
              <w:rPr>
                <w:sz w:val="20"/>
                <w:szCs w:val="20"/>
                <w:color w:val="auto"/>
              </w:rPr>
            </w:pPr>
            <w:r>
              <w:rPr>
                <w:rFonts w:ascii="Arial" w:cs="Arial" w:eastAsia="Arial" w:hAnsi="Arial"/>
                <w:sz w:val="21"/>
                <w:szCs w:val="21"/>
                <w:color w:val="auto"/>
              </w:rPr>
              <w:t>-</w:t>
            </w:r>
          </w:p>
        </w:tc>
      </w:tr>
      <w:tr>
        <w:trPr>
          <w:trHeight w:val="243"/>
        </w:trPr>
        <w:tc>
          <w:tcPr>
            <w:tcW w:w="5080" w:type="dxa"/>
            <w:vAlign w:val="bottom"/>
            <w:gridSpan w:val="2"/>
            <w:shd w:val="clear" w:color="auto" w:fill="CCEEFF"/>
          </w:tcPr>
          <w:p>
            <w:pPr>
              <w:ind w:left="180"/>
              <w:spacing w:after="0"/>
              <w:rPr>
                <w:sz w:val="20"/>
                <w:szCs w:val="20"/>
                <w:color w:val="auto"/>
              </w:rPr>
            </w:pPr>
            <w:r>
              <w:rPr>
                <w:rFonts w:ascii="Arial" w:cs="Arial" w:eastAsia="Arial" w:hAnsi="Arial"/>
                <w:sz w:val="21"/>
                <w:szCs w:val="21"/>
                <w:color w:val="auto"/>
              </w:rPr>
              <w:t>Transfers out of Level 3</w:t>
            </w: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21"/>
                <w:szCs w:val="21"/>
                <w:color w:val="auto"/>
              </w:rPr>
              <w:t>-</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21"/>
                <w:szCs w:val="21"/>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21"/>
                <w:szCs w:val="21"/>
                <w:color w:val="auto"/>
              </w:rPr>
              <w:t>-</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16"/>
              <w:spacing w:after="0"/>
              <w:rPr>
                <w:sz w:val="20"/>
                <w:szCs w:val="20"/>
                <w:color w:val="auto"/>
              </w:rPr>
            </w:pPr>
            <w:r>
              <w:rPr>
                <w:rFonts w:ascii="Arial" w:cs="Arial" w:eastAsia="Arial" w:hAnsi="Arial"/>
                <w:sz w:val="21"/>
                <w:szCs w:val="21"/>
                <w:color w:val="auto"/>
              </w:rPr>
              <w:t>-</w:t>
            </w:r>
          </w:p>
        </w:tc>
      </w:tr>
      <w:tr>
        <w:trPr>
          <w:trHeight w:val="243"/>
        </w:trPr>
        <w:tc>
          <w:tcPr>
            <w:tcW w:w="5080" w:type="dxa"/>
            <w:vAlign w:val="bottom"/>
            <w:gridSpan w:val="2"/>
          </w:tcPr>
          <w:p>
            <w:pPr>
              <w:ind w:left="180"/>
              <w:spacing w:after="0"/>
              <w:rPr>
                <w:sz w:val="20"/>
                <w:szCs w:val="20"/>
                <w:color w:val="auto"/>
              </w:rPr>
            </w:pPr>
            <w:r>
              <w:rPr>
                <w:rFonts w:ascii="Arial" w:cs="Arial" w:eastAsia="Arial" w:hAnsi="Arial"/>
                <w:sz w:val="21"/>
                <w:szCs w:val="21"/>
                <w:color w:val="auto"/>
              </w:rPr>
              <w:t>Total (losses) gains for the period:</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43"/>
        </w:trPr>
        <w:tc>
          <w:tcPr>
            <w:tcW w:w="5080" w:type="dxa"/>
            <w:vAlign w:val="bottom"/>
            <w:gridSpan w:val="2"/>
            <w:shd w:val="clear" w:color="auto" w:fill="CCEEFF"/>
          </w:tcPr>
          <w:p>
            <w:pPr>
              <w:ind w:left="360"/>
              <w:spacing w:after="0"/>
              <w:rPr>
                <w:sz w:val="20"/>
                <w:szCs w:val="20"/>
                <w:color w:val="auto"/>
              </w:rPr>
            </w:pPr>
            <w:r>
              <w:rPr>
                <w:rFonts w:ascii="Arial" w:cs="Arial" w:eastAsia="Arial" w:hAnsi="Arial"/>
                <w:sz w:val="21"/>
                <w:szCs w:val="21"/>
                <w:color w:val="auto"/>
              </w:rPr>
              <w:t>Included in earnings</w:t>
            </w: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1"/>
                <w:szCs w:val="21"/>
                <w:color w:val="auto"/>
              </w:rPr>
              <w:t>(201)</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21"/>
                <w:szCs w:val="21"/>
                <w:color w:val="auto"/>
              </w:rPr>
              <w:t>167</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1"/>
                <w:szCs w:val="21"/>
                <w:color w:val="auto"/>
              </w:rPr>
              <w:t>(652)</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16"/>
              <w:spacing w:after="0"/>
              <w:rPr>
                <w:sz w:val="20"/>
                <w:szCs w:val="20"/>
                <w:color w:val="auto"/>
              </w:rPr>
            </w:pPr>
            <w:r>
              <w:rPr>
                <w:rFonts w:ascii="Arial" w:cs="Arial" w:eastAsia="Arial" w:hAnsi="Arial"/>
                <w:sz w:val="21"/>
                <w:szCs w:val="21"/>
                <w:color w:val="auto"/>
              </w:rPr>
              <w:t>303</w:t>
            </w:r>
          </w:p>
        </w:tc>
      </w:tr>
      <w:tr>
        <w:trPr>
          <w:trHeight w:val="243"/>
        </w:trPr>
        <w:tc>
          <w:tcPr>
            <w:tcW w:w="5080" w:type="dxa"/>
            <w:vAlign w:val="bottom"/>
            <w:gridSpan w:val="2"/>
          </w:tcPr>
          <w:p>
            <w:pPr>
              <w:ind w:left="360"/>
              <w:spacing w:after="0"/>
              <w:rPr>
                <w:sz w:val="20"/>
                <w:szCs w:val="20"/>
                <w:color w:val="auto"/>
              </w:rPr>
            </w:pPr>
            <w:r>
              <w:rPr>
                <w:rFonts w:ascii="Arial" w:cs="Arial" w:eastAsia="Arial" w:hAnsi="Arial"/>
                <w:sz w:val="21"/>
                <w:szCs w:val="21"/>
                <w:color w:val="auto"/>
              </w:rPr>
              <w:t>Included in other comprehensive income</w:t>
            </w:r>
          </w:p>
        </w:tc>
        <w:tc>
          <w:tcPr>
            <w:tcW w:w="26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jc w:val="right"/>
              <w:ind w:right="36"/>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21"/>
                <w:szCs w:val="21"/>
                <w:color w:val="auto"/>
              </w:rPr>
              <w:t>2,244</w:t>
            </w: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jc w:val="right"/>
              <w:ind w:right="16"/>
              <w:spacing w:after="0"/>
              <w:rPr>
                <w:sz w:val="20"/>
                <w:szCs w:val="20"/>
                <w:color w:val="auto"/>
              </w:rPr>
            </w:pPr>
            <w:r>
              <w:rPr>
                <w:rFonts w:ascii="Arial" w:cs="Arial" w:eastAsia="Arial" w:hAnsi="Arial"/>
                <w:sz w:val="21"/>
                <w:szCs w:val="21"/>
                <w:color w:val="auto"/>
              </w:rPr>
              <w:t>-</w:t>
            </w:r>
          </w:p>
        </w:tc>
      </w:tr>
      <w:tr>
        <w:trPr>
          <w:trHeight w:val="243"/>
        </w:trPr>
        <w:tc>
          <w:tcPr>
            <w:tcW w:w="5080" w:type="dxa"/>
            <w:vAlign w:val="bottom"/>
            <w:gridSpan w:val="2"/>
            <w:shd w:val="clear" w:color="auto" w:fill="CCEEFF"/>
          </w:tcPr>
          <w:p>
            <w:pPr>
              <w:ind w:left="180"/>
              <w:spacing w:after="0"/>
              <w:rPr>
                <w:sz w:val="20"/>
                <w:szCs w:val="20"/>
                <w:color w:val="auto"/>
              </w:rPr>
            </w:pPr>
            <w:r>
              <w:rPr>
                <w:rFonts w:ascii="Arial" w:cs="Arial" w:eastAsia="Arial" w:hAnsi="Arial"/>
                <w:sz w:val="21"/>
                <w:szCs w:val="21"/>
                <w:color w:val="auto"/>
              </w:rPr>
              <w:t>Settlements</w:t>
            </w:r>
          </w:p>
        </w:tc>
        <w:tc>
          <w:tcPr>
            <w:tcW w:w="2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1"/>
                <w:szCs w:val="21"/>
                <w:color w:val="auto"/>
              </w:rPr>
              <w:t>(790)</w:t>
            </w: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21"/>
                <w:szCs w:val="21"/>
                <w:color w:val="auto"/>
              </w:rPr>
              <w:t>-</w:t>
            </w: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1"/>
                <w:szCs w:val="21"/>
                <w:color w:val="auto"/>
              </w:rPr>
              <w:t>(13,600)</w:t>
            </w:r>
          </w:p>
        </w:tc>
        <w:tc>
          <w:tcPr>
            <w:tcW w:w="220" w:type="dxa"/>
            <w:vAlign w:val="bottom"/>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21"/>
                <w:szCs w:val="21"/>
                <w:color w:val="auto"/>
              </w:rPr>
              <w:t>-</w:t>
            </w:r>
          </w:p>
        </w:tc>
      </w:tr>
      <w:tr>
        <w:trPr>
          <w:trHeight w:val="237"/>
        </w:trPr>
        <w:tc>
          <w:tcPr>
            <w:tcW w:w="5080" w:type="dxa"/>
            <w:vAlign w:val="bottom"/>
            <w:gridSpan w:val="2"/>
          </w:tcPr>
          <w:p>
            <w:pPr>
              <w:spacing w:after="0" w:line="237" w:lineRule="exact"/>
              <w:rPr>
                <w:sz w:val="20"/>
                <w:szCs w:val="20"/>
                <w:color w:val="auto"/>
              </w:rPr>
            </w:pPr>
            <w:r>
              <w:rPr>
                <w:rFonts w:ascii="Arial" w:cs="Arial" w:eastAsia="Arial" w:hAnsi="Arial"/>
                <w:sz w:val="21"/>
                <w:szCs w:val="21"/>
                <w:color w:val="auto"/>
              </w:rPr>
              <w:t>Closing Balance</w:t>
            </w:r>
          </w:p>
        </w:tc>
        <w:tc>
          <w:tcPr>
            <w:tcW w:w="2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w:t>
            </w:r>
          </w:p>
        </w:tc>
        <w:tc>
          <w:tcPr>
            <w:tcW w:w="1240" w:type="dxa"/>
            <w:vAlign w:val="bottom"/>
            <w:tcBorders>
              <w:bottom w:val="single" w:sz="8" w:color="auto"/>
            </w:tcBorders>
          </w:tcPr>
          <w:p>
            <w:pPr>
              <w:jc w:val="right"/>
              <w:ind w:right="16"/>
              <w:spacing w:after="0" w:line="237" w:lineRule="exact"/>
              <w:rPr>
                <w:sz w:val="20"/>
                <w:szCs w:val="20"/>
                <w:color w:val="auto"/>
              </w:rPr>
            </w:pPr>
            <w:r>
              <w:rPr>
                <w:rFonts w:ascii="Arial" w:cs="Arial" w:eastAsia="Arial" w:hAnsi="Arial"/>
                <w:sz w:val="21"/>
                <w:szCs w:val="21"/>
                <w:color w:val="auto"/>
              </w:rPr>
              <w:t>20,873</w:t>
            </w:r>
          </w:p>
        </w:tc>
        <w:tc>
          <w:tcPr>
            <w:tcW w:w="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Borders>
              <w:bottom w:val="single" w:sz="8" w:color="auto"/>
            </w:tcBorders>
          </w:tcPr>
          <w:p>
            <w:pPr>
              <w:jc w:val="right"/>
              <w:ind w:right="356"/>
              <w:spacing w:after="0" w:line="237" w:lineRule="exact"/>
              <w:rPr>
                <w:sz w:val="20"/>
                <w:szCs w:val="20"/>
                <w:color w:val="auto"/>
              </w:rPr>
            </w:pPr>
            <w:r>
              <w:rPr>
                <w:rFonts w:ascii="Arial" w:cs="Arial" w:eastAsia="Arial" w:hAnsi="Arial"/>
                <w:sz w:val="21"/>
                <w:szCs w:val="21"/>
                <w:color w:val="auto"/>
              </w:rPr>
              <w:t>$</w:t>
            </w:r>
          </w:p>
        </w:tc>
        <w:tc>
          <w:tcPr>
            <w:tcW w:w="680" w:type="dxa"/>
            <w:vAlign w:val="bottom"/>
            <w:tcBorders>
              <w:bottom w:val="single" w:sz="8" w:color="auto"/>
            </w:tcBorders>
          </w:tcPr>
          <w:p>
            <w:pPr>
              <w:jc w:val="right"/>
              <w:ind w:right="36"/>
              <w:spacing w:after="0" w:line="237" w:lineRule="exact"/>
              <w:rPr>
                <w:sz w:val="20"/>
                <w:szCs w:val="20"/>
                <w:color w:val="auto"/>
              </w:rPr>
            </w:pPr>
            <w:r>
              <w:rPr>
                <w:rFonts w:ascii="Arial" w:cs="Arial" w:eastAsia="Arial" w:hAnsi="Arial"/>
                <w:sz w:val="21"/>
                <w:szCs w:val="21"/>
                <w:color w:val="auto"/>
                <w:w w:val="98"/>
              </w:rPr>
              <w:t>1,816</w:t>
            </w:r>
          </w:p>
        </w:tc>
        <w:tc>
          <w:tcPr>
            <w:tcW w:w="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w:t>
            </w:r>
          </w:p>
        </w:tc>
        <w:tc>
          <w:tcPr>
            <w:tcW w:w="1140" w:type="dxa"/>
            <w:vAlign w:val="bottom"/>
            <w:tcBorders>
              <w:bottom w:val="single" w:sz="8" w:color="auto"/>
            </w:tcBorders>
          </w:tcPr>
          <w:p>
            <w:pPr>
              <w:jc w:val="right"/>
              <w:ind w:right="36"/>
              <w:spacing w:after="0" w:line="237" w:lineRule="exact"/>
              <w:rPr>
                <w:sz w:val="20"/>
                <w:szCs w:val="20"/>
                <w:color w:val="auto"/>
              </w:rPr>
            </w:pPr>
            <w:r>
              <w:rPr>
                <w:rFonts w:ascii="Arial" w:cs="Arial" w:eastAsia="Arial" w:hAnsi="Arial"/>
                <w:sz w:val="21"/>
                <w:szCs w:val="21"/>
                <w:color w:val="auto"/>
              </w:rPr>
              <w:t>55,636</w:t>
            </w:r>
          </w:p>
        </w:tc>
        <w:tc>
          <w:tcPr>
            <w:tcW w:w="220" w:type="dxa"/>
            <w:vAlign w:val="bottom"/>
          </w:tcPr>
          <w:p>
            <w:pPr>
              <w:spacing w:after="0"/>
              <w:rPr>
                <w:sz w:val="20"/>
                <w:szCs w:val="20"/>
                <w:color w:val="auto"/>
              </w:rPr>
            </w:pPr>
          </w:p>
        </w:tc>
        <w:tc>
          <w:tcPr>
            <w:tcW w:w="740" w:type="dxa"/>
            <w:vAlign w:val="bottom"/>
            <w:tcBorders>
              <w:bottom w:val="single" w:sz="8" w:color="auto"/>
            </w:tcBorders>
          </w:tcPr>
          <w:p>
            <w:pPr>
              <w:jc w:val="right"/>
              <w:ind w:right="396"/>
              <w:spacing w:after="0" w:line="237" w:lineRule="exact"/>
              <w:rPr>
                <w:sz w:val="20"/>
                <w:szCs w:val="20"/>
                <w:color w:val="auto"/>
              </w:rPr>
            </w:pPr>
            <w:r>
              <w:rPr>
                <w:rFonts w:ascii="Arial" w:cs="Arial" w:eastAsia="Arial" w:hAnsi="Arial"/>
                <w:sz w:val="21"/>
                <w:szCs w:val="21"/>
                <w:color w:val="auto"/>
              </w:rPr>
              <w:t>$</w:t>
            </w:r>
          </w:p>
        </w:tc>
        <w:tc>
          <w:tcPr>
            <w:tcW w:w="600" w:type="dxa"/>
            <w:vAlign w:val="bottom"/>
            <w:tcBorders>
              <w:bottom w:val="single" w:sz="8" w:color="auto"/>
            </w:tcBorders>
          </w:tcPr>
          <w:p>
            <w:pPr>
              <w:jc w:val="right"/>
              <w:ind w:right="16"/>
              <w:spacing w:after="0" w:line="237" w:lineRule="exact"/>
              <w:rPr>
                <w:sz w:val="20"/>
                <w:szCs w:val="20"/>
                <w:color w:val="auto"/>
              </w:rPr>
            </w:pPr>
            <w:r>
              <w:rPr>
                <w:rFonts w:ascii="Arial" w:cs="Arial" w:eastAsia="Arial" w:hAnsi="Arial"/>
                <w:sz w:val="21"/>
                <w:szCs w:val="21"/>
                <w:color w:val="auto"/>
                <w:w w:val="87"/>
              </w:rPr>
              <w:t>4,091</w:t>
            </w:r>
          </w:p>
        </w:tc>
      </w:tr>
      <w:tr>
        <w:trPr>
          <w:trHeight w:val="20"/>
        </w:trPr>
        <w:tc>
          <w:tcPr>
            <w:tcW w:w="5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426"/>
        </w:trPr>
        <w:tc>
          <w:tcPr>
            <w:tcW w:w="5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0" w:type="dxa"/>
            <w:vAlign w:val="bottom"/>
            <w:gridSpan w:val="4"/>
          </w:tcPr>
          <w:p>
            <w:pPr>
              <w:jc w:val="center"/>
              <w:ind w:left="296"/>
              <w:spacing w:after="0"/>
              <w:rPr>
                <w:sz w:val="20"/>
                <w:szCs w:val="20"/>
                <w:color w:val="auto"/>
              </w:rPr>
            </w:pPr>
            <w:r>
              <w:rPr>
                <w:rFonts w:ascii="Arial" w:cs="Arial" w:eastAsia="Arial" w:hAnsi="Arial"/>
                <w:sz w:val="21"/>
                <w:szCs w:val="21"/>
                <w:color w:val="auto"/>
                <w:w w:val="90"/>
              </w:rPr>
              <w:t>Six-Months Ended</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gridSpan w:val="3"/>
          </w:tcPr>
          <w:p>
            <w:pPr>
              <w:jc w:val="center"/>
              <w:ind w:left="236"/>
              <w:spacing w:after="0"/>
              <w:rPr>
                <w:sz w:val="20"/>
                <w:szCs w:val="20"/>
                <w:color w:val="auto"/>
              </w:rPr>
            </w:pPr>
            <w:r>
              <w:rPr>
                <w:rFonts w:ascii="Arial" w:cs="Arial" w:eastAsia="Arial" w:hAnsi="Arial"/>
                <w:sz w:val="21"/>
                <w:szCs w:val="21"/>
                <w:color w:val="auto"/>
                <w:w w:val="90"/>
              </w:rPr>
              <w:t>Six-Months Ended</w:t>
            </w:r>
          </w:p>
        </w:tc>
        <w:tc>
          <w:tcPr>
            <w:tcW w:w="600" w:type="dxa"/>
            <w:vAlign w:val="bottom"/>
          </w:tcPr>
          <w:p>
            <w:pPr>
              <w:spacing w:after="0"/>
              <w:rPr>
                <w:sz w:val="24"/>
                <w:szCs w:val="24"/>
                <w:color w:val="auto"/>
              </w:rPr>
            </w:pPr>
          </w:p>
        </w:tc>
      </w:tr>
      <w:tr>
        <w:trPr>
          <w:trHeight w:val="256"/>
        </w:trPr>
        <w:tc>
          <w:tcPr>
            <w:tcW w:w="506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4"/>
          </w:tcPr>
          <w:p>
            <w:pPr>
              <w:jc w:val="center"/>
              <w:ind w:left="296"/>
              <w:spacing w:after="0"/>
              <w:rPr>
                <w:sz w:val="20"/>
                <w:szCs w:val="20"/>
                <w:color w:val="auto"/>
              </w:rPr>
            </w:pPr>
            <w:r>
              <w:rPr>
                <w:rFonts w:ascii="Arial" w:cs="Arial" w:eastAsia="Arial" w:hAnsi="Arial"/>
                <w:sz w:val="21"/>
                <w:szCs w:val="21"/>
                <w:color w:val="auto"/>
                <w:w w:val="87"/>
              </w:rPr>
              <w:t>June 30, 2012</w:t>
            </w:r>
          </w:p>
        </w:tc>
        <w:tc>
          <w:tcPr>
            <w:tcW w:w="68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gridSpan w:val="3"/>
          </w:tcPr>
          <w:p>
            <w:pPr>
              <w:jc w:val="center"/>
              <w:ind w:left="216"/>
              <w:spacing w:after="0"/>
              <w:rPr>
                <w:sz w:val="20"/>
                <w:szCs w:val="20"/>
                <w:color w:val="auto"/>
              </w:rPr>
            </w:pPr>
            <w:r>
              <w:rPr>
                <w:rFonts w:ascii="Arial" w:cs="Arial" w:eastAsia="Arial" w:hAnsi="Arial"/>
                <w:sz w:val="21"/>
                <w:szCs w:val="21"/>
                <w:color w:val="auto"/>
                <w:w w:val="85"/>
              </w:rPr>
              <w:t>June 30, 2011</w:t>
            </w:r>
          </w:p>
        </w:tc>
        <w:tc>
          <w:tcPr>
            <w:tcW w:w="600" w:type="dxa"/>
            <w:vAlign w:val="bottom"/>
            <w:tcBorders>
              <w:bottom w:val="single" w:sz="8" w:color="auto"/>
            </w:tcBorders>
          </w:tcPr>
          <w:p>
            <w:pPr>
              <w:spacing w:after="0"/>
              <w:rPr>
                <w:sz w:val="22"/>
                <w:szCs w:val="22"/>
                <w:color w:val="auto"/>
              </w:rPr>
            </w:pPr>
          </w:p>
        </w:tc>
      </w:tr>
      <w:tr>
        <w:trPr>
          <w:trHeight w:val="223"/>
        </w:trPr>
        <w:tc>
          <w:tcPr>
            <w:tcW w:w="5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3"/>
          </w:tcPr>
          <w:p>
            <w:pPr>
              <w:jc w:val="center"/>
              <w:ind w:right="660"/>
              <w:spacing w:after="0" w:line="223" w:lineRule="exact"/>
              <w:rPr>
                <w:sz w:val="20"/>
                <w:szCs w:val="20"/>
                <w:color w:val="auto"/>
              </w:rPr>
            </w:pPr>
            <w:r>
              <w:rPr>
                <w:rFonts w:ascii="Arial" w:cs="Arial" w:eastAsia="Arial" w:hAnsi="Arial"/>
                <w:sz w:val="21"/>
                <w:szCs w:val="21"/>
                <w:color w:val="auto"/>
                <w:w w:val="94"/>
              </w:rPr>
              <w:t>Auction</w:t>
            </w: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center"/>
              <w:ind w:right="640"/>
              <w:spacing w:after="0" w:line="223" w:lineRule="exact"/>
              <w:rPr>
                <w:sz w:val="20"/>
                <w:szCs w:val="20"/>
                <w:color w:val="auto"/>
              </w:rPr>
            </w:pPr>
            <w:r>
              <w:rPr>
                <w:rFonts w:ascii="Arial" w:cs="Arial" w:eastAsia="Arial" w:hAnsi="Arial"/>
                <w:sz w:val="21"/>
                <w:szCs w:val="21"/>
                <w:color w:val="auto"/>
                <w:w w:val="97"/>
              </w:rPr>
              <w:t>Auction</w:t>
            </w:r>
          </w:p>
        </w:tc>
        <w:tc>
          <w:tcPr>
            <w:tcW w:w="74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43"/>
        </w:trPr>
        <w:tc>
          <w:tcPr>
            <w:tcW w:w="5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gridSpan w:val="3"/>
          </w:tcPr>
          <w:p>
            <w:pPr>
              <w:jc w:val="center"/>
              <w:ind w:right="660"/>
              <w:spacing w:after="0"/>
              <w:rPr>
                <w:sz w:val="20"/>
                <w:szCs w:val="20"/>
                <w:color w:val="auto"/>
              </w:rPr>
            </w:pPr>
            <w:r>
              <w:rPr>
                <w:rFonts w:ascii="Arial" w:cs="Arial" w:eastAsia="Arial" w:hAnsi="Arial"/>
                <w:sz w:val="21"/>
                <w:szCs w:val="21"/>
                <w:color w:val="auto"/>
                <w:w w:val="85"/>
              </w:rPr>
              <w:t>Rate</w:t>
            </w: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2"/>
          </w:tcPr>
          <w:p>
            <w:pPr>
              <w:jc w:val="center"/>
              <w:ind w:right="660"/>
              <w:spacing w:after="0"/>
              <w:rPr>
                <w:sz w:val="20"/>
                <w:szCs w:val="20"/>
                <w:color w:val="auto"/>
              </w:rPr>
            </w:pPr>
            <w:r>
              <w:rPr>
                <w:rFonts w:ascii="Arial" w:cs="Arial" w:eastAsia="Arial" w:hAnsi="Arial"/>
                <w:sz w:val="21"/>
                <w:szCs w:val="21"/>
                <w:color w:val="auto"/>
                <w:w w:val="85"/>
              </w:rPr>
              <w:t>Rate</w:t>
            </w: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56"/>
        </w:trPr>
        <w:tc>
          <w:tcPr>
            <w:tcW w:w="5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80" w:type="dxa"/>
            <w:vAlign w:val="bottom"/>
            <w:gridSpan w:val="3"/>
          </w:tcPr>
          <w:p>
            <w:pPr>
              <w:jc w:val="center"/>
              <w:ind w:right="660"/>
              <w:spacing w:after="0"/>
              <w:rPr>
                <w:sz w:val="20"/>
                <w:szCs w:val="20"/>
                <w:color w:val="auto"/>
              </w:rPr>
            </w:pPr>
            <w:r>
              <w:rPr>
                <w:rFonts w:ascii="Arial" w:cs="Arial" w:eastAsia="Arial" w:hAnsi="Arial"/>
                <w:sz w:val="21"/>
                <w:szCs w:val="21"/>
                <w:color w:val="auto"/>
                <w:w w:val="88"/>
              </w:rPr>
              <w:t>Securities</w:t>
            </w:r>
          </w:p>
        </w:tc>
        <w:tc>
          <w:tcPr>
            <w:tcW w:w="1640" w:type="dxa"/>
            <w:vAlign w:val="bottom"/>
            <w:gridSpan w:val="5"/>
          </w:tcPr>
          <w:p>
            <w:pPr>
              <w:ind w:left="200"/>
              <w:spacing w:after="0"/>
              <w:rPr>
                <w:sz w:val="20"/>
                <w:szCs w:val="20"/>
                <w:color w:val="auto"/>
              </w:rPr>
            </w:pPr>
            <w:r>
              <w:rPr>
                <w:rFonts w:ascii="Arial" w:cs="Arial" w:eastAsia="Arial" w:hAnsi="Arial"/>
                <w:sz w:val="21"/>
                <w:szCs w:val="21"/>
                <w:color w:val="auto"/>
              </w:rPr>
              <w:t>Put Options</w:t>
            </w:r>
          </w:p>
        </w:tc>
        <w:tc>
          <w:tcPr>
            <w:tcW w:w="1620" w:type="dxa"/>
            <w:vAlign w:val="bottom"/>
            <w:gridSpan w:val="3"/>
          </w:tcPr>
          <w:p>
            <w:pPr>
              <w:jc w:val="center"/>
              <w:ind w:right="400"/>
              <w:spacing w:after="0"/>
              <w:rPr>
                <w:sz w:val="20"/>
                <w:szCs w:val="20"/>
                <w:color w:val="auto"/>
              </w:rPr>
            </w:pPr>
            <w:r>
              <w:rPr>
                <w:rFonts w:ascii="Arial" w:cs="Arial" w:eastAsia="Arial" w:hAnsi="Arial"/>
                <w:sz w:val="21"/>
                <w:szCs w:val="21"/>
                <w:color w:val="auto"/>
                <w:w w:val="88"/>
              </w:rPr>
              <w:t>Securities</w:t>
            </w:r>
          </w:p>
        </w:tc>
        <w:tc>
          <w:tcPr>
            <w:tcW w:w="1340" w:type="dxa"/>
            <w:vAlign w:val="bottom"/>
            <w:gridSpan w:val="2"/>
          </w:tcPr>
          <w:p>
            <w:pPr>
              <w:jc w:val="right"/>
              <w:ind w:right="76"/>
              <w:spacing w:after="0"/>
              <w:rPr>
                <w:sz w:val="20"/>
                <w:szCs w:val="20"/>
                <w:color w:val="auto"/>
              </w:rPr>
            </w:pPr>
            <w:r>
              <w:rPr>
                <w:rFonts w:ascii="Arial" w:cs="Arial" w:eastAsia="Arial" w:hAnsi="Arial"/>
                <w:sz w:val="21"/>
                <w:szCs w:val="21"/>
                <w:color w:val="auto"/>
              </w:rPr>
              <w:t>Put Options</w:t>
            </w:r>
          </w:p>
        </w:tc>
      </w:tr>
      <w:tr>
        <w:trPr>
          <w:trHeight w:val="237"/>
        </w:trPr>
        <w:tc>
          <w:tcPr>
            <w:tcW w:w="5060" w:type="dxa"/>
            <w:vAlign w:val="bottom"/>
            <w:tcBorders>
              <w:top w:val="single" w:sz="8" w:color="CCEEFF"/>
            </w:tcBorders>
            <w:shd w:val="clear" w:color="auto" w:fill="CCEEFF"/>
          </w:tcPr>
          <w:p>
            <w:pPr>
              <w:spacing w:after="0" w:line="237" w:lineRule="exact"/>
              <w:rPr>
                <w:sz w:val="20"/>
                <w:szCs w:val="20"/>
                <w:color w:val="auto"/>
              </w:rPr>
            </w:pPr>
            <w:r>
              <w:rPr>
                <w:rFonts w:ascii="Arial" w:cs="Arial" w:eastAsia="Arial" w:hAnsi="Arial"/>
                <w:sz w:val="21"/>
                <w:szCs w:val="21"/>
                <w:color w:val="auto"/>
              </w:rPr>
              <w:t>Opening Balance</w:t>
            </w:r>
          </w:p>
        </w:tc>
        <w:tc>
          <w:tcPr>
            <w:tcW w:w="2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1"/>
                <w:szCs w:val="21"/>
                <w:color w:val="auto"/>
              </w:rPr>
              <w:t>$</w:t>
            </w:r>
          </w:p>
        </w:tc>
        <w:tc>
          <w:tcPr>
            <w:tcW w:w="1240" w:type="dxa"/>
            <w:vAlign w:val="bottom"/>
            <w:tcBorders>
              <w:top w:val="single" w:sz="8" w:color="auto"/>
            </w:tcBorders>
            <w:shd w:val="clear" w:color="auto" w:fill="CCEEFF"/>
          </w:tcPr>
          <w:p>
            <w:pPr>
              <w:jc w:val="right"/>
              <w:ind w:right="36"/>
              <w:spacing w:after="0" w:line="237" w:lineRule="exact"/>
              <w:rPr>
                <w:sz w:val="20"/>
                <w:szCs w:val="20"/>
                <w:color w:val="auto"/>
              </w:rPr>
            </w:pPr>
            <w:r>
              <w:rPr>
                <w:rFonts w:ascii="Arial" w:cs="Arial" w:eastAsia="Arial" w:hAnsi="Arial"/>
                <w:sz w:val="21"/>
                <w:szCs w:val="21"/>
                <w:color w:val="auto"/>
              </w:rPr>
              <w:t>35,852</w:t>
            </w:r>
          </w:p>
        </w:tc>
        <w:tc>
          <w:tcPr>
            <w:tcW w:w="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jc w:val="right"/>
              <w:ind w:right="376"/>
              <w:spacing w:after="0" w:line="237" w:lineRule="exact"/>
              <w:rPr>
                <w:sz w:val="20"/>
                <w:szCs w:val="20"/>
                <w:color w:val="auto"/>
              </w:rPr>
            </w:pPr>
            <w:r>
              <w:rPr>
                <w:rFonts w:ascii="Arial" w:cs="Arial" w:eastAsia="Arial" w:hAnsi="Arial"/>
                <w:sz w:val="21"/>
                <w:szCs w:val="21"/>
                <w:color w:val="auto"/>
              </w:rPr>
              <w:t>$</w:t>
            </w:r>
          </w:p>
        </w:tc>
        <w:tc>
          <w:tcPr>
            <w:tcW w:w="680" w:type="dxa"/>
            <w:vAlign w:val="bottom"/>
            <w:tcBorders>
              <w:top w:val="single" w:sz="8" w:color="auto"/>
            </w:tcBorders>
            <w:shd w:val="clear" w:color="auto" w:fill="CCEEFF"/>
          </w:tcPr>
          <w:p>
            <w:pPr>
              <w:jc w:val="right"/>
              <w:ind w:right="36"/>
              <w:spacing w:after="0" w:line="237" w:lineRule="exact"/>
              <w:rPr>
                <w:sz w:val="20"/>
                <w:szCs w:val="20"/>
                <w:color w:val="auto"/>
              </w:rPr>
            </w:pPr>
            <w:r>
              <w:rPr>
                <w:rFonts w:ascii="Arial" w:cs="Arial" w:eastAsia="Arial" w:hAnsi="Arial"/>
                <w:sz w:val="21"/>
                <w:szCs w:val="21"/>
                <w:color w:val="auto"/>
                <w:w w:val="98"/>
              </w:rPr>
              <w:t>3,041</w:t>
            </w:r>
          </w:p>
        </w:tc>
        <w:tc>
          <w:tcPr>
            <w:tcW w:w="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1"/>
                <w:szCs w:val="21"/>
                <w:color w:val="auto"/>
              </w:rPr>
              <w:t>$</w:t>
            </w:r>
          </w:p>
        </w:tc>
        <w:tc>
          <w:tcPr>
            <w:tcW w:w="1140" w:type="dxa"/>
            <w:vAlign w:val="bottom"/>
            <w:tcBorders>
              <w:top w:val="single" w:sz="8" w:color="auto"/>
            </w:tcBorders>
            <w:shd w:val="clear" w:color="auto" w:fill="CCEEFF"/>
          </w:tcPr>
          <w:p>
            <w:pPr>
              <w:jc w:val="right"/>
              <w:ind w:right="56"/>
              <w:spacing w:after="0" w:line="237" w:lineRule="exact"/>
              <w:rPr>
                <w:sz w:val="20"/>
                <w:szCs w:val="20"/>
                <w:color w:val="auto"/>
              </w:rPr>
            </w:pPr>
            <w:r>
              <w:rPr>
                <w:rFonts w:ascii="Arial" w:cs="Arial" w:eastAsia="Arial" w:hAnsi="Arial"/>
                <w:sz w:val="21"/>
                <w:szCs w:val="21"/>
                <w:color w:val="auto"/>
              </w:rPr>
              <w:t>68,252</w:t>
            </w:r>
          </w:p>
        </w:tc>
        <w:tc>
          <w:tcPr>
            <w:tcW w:w="220" w:type="dxa"/>
            <w:vAlign w:val="bottom"/>
            <w:tcBorders>
              <w:top w:val="single" w:sz="8" w:color="CCEEFF"/>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jc w:val="right"/>
              <w:ind w:right="396"/>
              <w:spacing w:after="0" w:line="237" w:lineRule="exact"/>
              <w:rPr>
                <w:sz w:val="20"/>
                <w:szCs w:val="20"/>
                <w:color w:val="auto"/>
              </w:rPr>
            </w:pPr>
            <w:r>
              <w:rPr>
                <w:rFonts w:ascii="Arial" w:cs="Arial" w:eastAsia="Arial" w:hAnsi="Arial"/>
                <w:sz w:val="21"/>
                <w:szCs w:val="21"/>
                <w:color w:val="auto"/>
              </w:rPr>
              <w:t>$</w:t>
            </w:r>
          </w:p>
        </w:tc>
        <w:tc>
          <w:tcPr>
            <w:tcW w:w="600" w:type="dxa"/>
            <w:vAlign w:val="bottom"/>
            <w:tcBorders>
              <w:top w:val="single" w:sz="8" w:color="auto"/>
            </w:tcBorders>
            <w:shd w:val="clear" w:color="auto" w:fill="CCEEFF"/>
          </w:tcPr>
          <w:p>
            <w:pPr>
              <w:jc w:val="right"/>
              <w:ind w:right="16"/>
              <w:spacing w:after="0" w:line="237" w:lineRule="exact"/>
              <w:rPr>
                <w:sz w:val="20"/>
                <w:szCs w:val="20"/>
                <w:color w:val="auto"/>
              </w:rPr>
            </w:pPr>
            <w:r>
              <w:rPr>
                <w:rFonts w:ascii="Arial" w:cs="Arial" w:eastAsia="Arial" w:hAnsi="Arial"/>
                <w:sz w:val="21"/>
                <w:szCs w:val="21"/>
                <w:color w:val="auto"/>
                <w:w w:val="87"/>
              </w:rPr>
              <w:t>3,768</w:t>
            </w:r>
          </w:p>
        </w:tc>
      </w:tr>
      <w:tr>
        <w:trPr>
          <w:trHeight w:val="243"/>
        </w:trPr>
        <w:tc>
          <w:tcPr>
            <w:tcW w:w="5080" w:type="dxa"/>
            <w:vAlign w:val="bottom"/>
            <w:gridSpan w:val="2"/>
          </w:tcPr>
          <w:p>
            <w:pPr>
              <w:ind w:left="180"/>
              <w:spacing w:after="0"/>
              <w:rPr>
                <w:sz w:val="20"/>
                <w:szCs w:val="20"/>
                <w:color w:val="auto"/>
              </w:rPr>
            </w:pPr>
            <w:r>
              <w:rPr>
                <w:rFonts w:ascii="Arial" w:cs="Arial" w:eastAsia="Arial" w:hAnsi="Arial"/>
                <w:sz w:val="21"/>
                <w:szCs w:val="21"/>
                <w:color w:val="auto"/>
              </w:rPr>
              <w:t>Transfers into Level 3</w:t>
            </w:r>
          </w:p>
        </w:tc>
        <w:tc>
          <w:tcPr>
            <w:tcW w:w="260" w:type="dxa"/>
            <w:vAlign w:val="bottom"/>
          </w:tcPr>
          <w:p>
            <w:pPr>
              <w:spacing w:after="0"/>
              <w:rPr>
                <w:sz w:val="21"/>
                <w:szCs w:val="21"/>
                <w:color w:val="auto"/>
              </w:rPr>
            </w:pPr>
          </w:p>
        </w:tc>
        <w:tc>
          <w:tcPr>
            <w:tcW w:w="1240" w:type="dxa"/>
            <w:vAlign w:val="bottom"/>
          </w:tcPr>
          <w:p>
            <w:pPr>
              <w:jc w:val="right"/>
              <w:ind w:right="36"/>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jc w:val="right"/>
              <w:ind w:right="36"/>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56"/>
              <w:spacing w:after="0"/>
              <w:rPr>
                <w:sz w:val="20"/>
                <w:szCs w:val="20"/>
                <w:color w:val="auto"/>
              </w:rPr>
            </w:pPr>
            <w:r>
              <w:rPr>
                <w:rFonts w:ascii="Arial" w:cs="Arial" w:eastAsia="Arial" w:hAnsi="Arial"/>
                <w:sz w:val="21"/>
                <w:szCs w:val="21"/>
                <w:color w:val="auto"/>
              </w:rPr>
              <w:t>-</w:t>
            </w: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jc w:val="right"/>
              <w:ind w:right="16"/>
              <w:spacing w:after="0"/>
              <w:rPr>
                <w:sz w:val="20"/>
                <w:szCs w:val="20"/>
                <w:color w:val="auto"/>
              </w:rPr>
            </w:pPr>
            <w:r>
              <w:rPr>
                <w:rFonts w:ascii="Arial" w:cs="Arial" w:eastAsia="Arial" w:hAnsi="Arial"/>
                <w:sz w:val="21"/>
                <w:szCs w:val="21"/>
                <w:color w:val="auto"/>
              </w:rPr>
              <w:t>-</w:t>
            </w:r>
          </w:p>
        </w:tc>
      </w:tr>
      <w:tr>
        <w:trPr>
          <w:trHeight w:val="243"/>
        </w:trPr>
        <w:tc>
          <w:tcPr>
            <w:tcW w:w="5080" w:type="dxa"/>
            <w:vAlign w:val="bottom"/>
            <w:gridSpan w:val="2"/>
            <w:shd w:val="clear" w:color="auto" w:fill="CCEEFF"/>
          </w:tcPr>
          <w:p>
            <w:pPr>
              <w:ind w:left="180"/>
              <w:spacing w:after="0"/>
              <w:rPr>
                <w:sz w:val="20"/>
                <w:szCs w:val="20"/>
                <w:color w:val="auto"/>
              </w:rPr>
            </w:pPr>
            <w:r>
              <w:rPr>
                <w:rFonts w:ascii="Arial" w:cs="Arial" w:eastAsia="Arial" w:hAnsi="Arial"/>
                <w:sz w:val="21"/>
                <w:szCs w:val="21"/>
                <w:color w:val="auto"/>
              </w:rPr>
              <w:t>Transfers out of Level 3</w:t>
            </w: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6"/>
              <w:spacing w:after="0"/>
              <w:rPr>
                <w:sz w:val="20"/>
                <w:szCs w:val="20"/>
                <w:color w:val="auto"/>
              </w:rPr>
            </w:pPr>
            <w:r>
              <w:rPr>
                <w:rFonts w:ascii="Arial" w:cs="Arial" w:eastAsia="Arial" w:hAnsi="Arial"/>
                <w:sz w:val="21"/>
                <w:szCs w:val="21"/>
                <w:color w:val="auto"/>
              </w:rPr>
              <w:t>-</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21"/>
                <w:szCs w:val="21"/>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56"/>
              <w:spacing w:after="0"/>
              <w:rPr>
                <w:sz w:val="20"/>
                <w:szCs w:val="20"/>
                <w:color w:val="auto"/>
              </w:rPr>
            </w:pPr>
            <w:r>
              <w:rPr>
                <w:rFonts w:ascii="Arial" w:cs="Arial" w:eastAsia="Arial" w:hAnsi="Arial"/>
                <w:sz w:val="21"/>
                <w:szCs w:val="21"/>
                <w:color w:val="auto"/>
              </w:rPr>
              <w:t>-</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16"/>
              <w:spacing w:after="0"/>
              <w:rPr>
                <w:sz w:val="20"/>
                <w:szCs w:val="20"/>
                <w:color w:val="auto"/>
              </w:rPr>
            </w:pPr>
            <w:r>
              <w:rPr>
                <w:rFonts w:ascii="Arial" w:cs="Arial" w:eastAsia="Arial" w:hAnsi="Arial"/>
                <w:sz w:val="21"/>
                <w:szCs w:val="21"/>
                <w:color w:val="auto"/>
              </w:rPr>
              <w:t>-</w:t>
            </w:r>
          </w:p>
        </w:tc>
      </w:tr>
      <w:tr>
        <w:trPr>
          <w:trHeight w:val="243"/>
        </w:trPr>
        <w:tc>
          <w:tcPr>
            <w:tcW w:w="5080" w:type="dxa"/>
            <w:vAlign w:val="bottom"/>
            <w:gridSpan w:val="2"/>
          </w:tcPr>
          <w:p>
            <w:pPr>
              <w:ind w:left="180"/>
              <w:spacing w:after="0"/>
              <w:rPr>
                <w:sz w:val="20"/>
                <w:szCs w:val="20"/>
                <w:color w:val="auto"/>
              </w:rPr>
            </w:pPr>
            <w:r>
              <w:rPr>
                <w:rFonts w:ascii="Arial" w:cs="Arial" w:eastAsia="Arial" w:hAnsi="Arial"/>
                <w:sz w:val="21"/>
                <w:szCs w:val="21"/>
                <w:color w:val="auto"/>
              </w:rPr>
              <w:t>Total gains (losses) for the period:</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43"/>
        </w:trPr>
        <w:tc>
          <w:tcPr>
            <w:tcW w:w="5080" w:type="dxa"/>
            <w:vAlign w:val="bottom"/>
            <w:gridSpan w:val="2"/>
            <w:shd w:val="clear" w:color="auto" w:fill="CCEEFF"/>
          </w:tcPr>
          <w:p>
            <w:pPr>
              <w:ind w:left="360"/>
              <w:spacing w:after="0"/>
              <w:rPr>
                <w:sz w:val="20"/>
                <w:szCs w:val="20"/>
                <w:color w:val="auto"/>
              </w:rPr>
            </w:pPr>
            <w:r>
              <w:rPr>
                <w:rFonts w:ascii="Arial" w:cs="Arial" w:eastAsia="Arial" w:hAnsi="Arial"/>
                <w:sz w:val="21"/>
                <w:szCs w:val="21"/>
                <w:color w:val="auto"/>
              </w:rPr>
              <w:t>Included in earnings</w:t>
            </w: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6"/>
              <w:spacing w:after="0"/>
              <w:rPr>
                <w:sz w:val="20"/>
                <w:szCs w:val="20"/>
                <w:color w:val="auto"/>
              </w:rPr>
            </w:pPr>
            <w:r>
              <w:rPr>
                <w:rFonts w:ascii="Arial" w:cs="Arial" w:eastAsia="Arial" w:hAnsi="Arial"/>
                <w:sz w:val="21"/>
                <w:szCs w:val="21"/>
                <w:color w:val="auto"/>
              </w:rPr>
              <w:t>1,586</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21"/>
                <w:szCs w:val="21"/>
                <w:color w:val="auto"/>
                <w:w w:val="87"/>
              </w:rPr>
              <w:t>(1,225)</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1"/>
                <w:szCs w:val="21"/>
                <w:color w:val="auto"/>
              </w:rPr>
              <w:t>(374)</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16"/>
              <w:spacing w:after="0"/>
              <w:rPr>
                <w:sz w:val="20"/>
                <w:szCs w:val="20"/>
                <w:color w:val="auto"/>
              </w:rPr>
            </w:pPr>
            <w:r>
              <w:rPr>
                <w:rFonts w:ascii="Arial" w:cs="Arial" w:eastAsia="Arial" w:hAnsi="Arial"/>
                <w:sz w:val="21"/>
                <w:szCs w:val="21"/>
                <w:color w:val="auto"/>
              </w:rPr>
              <w:t>323</w:t>
            </w:r>
          </w:p>
        </w:tc>
      </w:tr>
      <w:tr>
        <w:trPr>
          <w:trHeight w:val="243"/>
        </w:trPr>
        <w:tc>
          <w:tcPr>
            <w:tcW w:w="5080" w:type="dxa"/>
            <w:vAlign w:val="bottom"/>
            <w:gridSpan w:val="2"/>
          </w:tcPr>
          <w:p>
            <w:pPr>
              <w:ind w:left="360"/>
              <w:spacing w:after="0"/>
              <w:rPr>
                <w:sz w:val="20"/>
                <w:szCs w:val="20"/>
                <w:color w:val="auto"/>
              </w:rPr>
            </w:pPr>
            <w:r>
              <w:rPr>
                <w:rFonts w:ascii="Arial" w:cs="Arial" w:eastAsia="Arial" w:hAnsi="Arial"/>
                <w:sz w:val="21"/>
                <w:szCs w:val="21"/>
                <w:color w:val="auto"/>
              </w:rPr>
              <w:t>Included in other comprehensive income</w:t>
            </w:r>
          </w:p>
        </w:tc>
        <w:tc>
          <w:tcPr>
            <w:tcW w:w="260" w:type="dxa"/>
            <w:vAlign w:val="bottom"/>
          </w:tcPr>
          <w:p>
            <w:pPr>
              <w:spacing w:after="0"/>
              <w:rPr>
                <w:sz w:val="21"/>
                <w:szCs w:val="21"/>
                <w:color w:val="auto"/>
              </w:rPr>
            </w:pPr>
          </w:p>
        </w:tc>
        <w:tc>
          <w:tcPr>
            <w:tcW w:w="1240" w:type="dxa"/>
            <w:vAlign w:val="bottom"/>
          </w:tcPr>
          <w:p>
            <w:pPr>
              <w:jc w:val="right"/>
              <w:ind w:right="36"/>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jc w:val="right"/>
              <w:ind w:right="36"/>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56"/>
              <w:spacing w:after="0"/>
              <w:rPr>
                <w:sz w:val="20"/>
                <w:szCs w:val="20"/>
                <w:color w:val="auto"/>
              </w:rPr>
            </w:pPr>
            <w:r>
              <w:rPr>
                <w:rFonts w:ascii="Arial" w:cs="Arial" w:eastAsia="Arial" w:hAnsi="Arial"/>
                <w:sz w:val="21"/>
                <w:szCs w:val="21"/>
                <w:color w:val="auto"/>
              </w:rPr>
              <w:t>2,408</w:t>
            </w: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jc w:val="right"/>
              <w:ind w:right="16"/>
              <w:spacing w:after="0"/>
              <w:rPr>
                <w:sz w:val="20"/>
                <w:szCs w:val="20"/>
                <w:color w:val="auto"/>
              </w:rPr>
            </w:pPr>
            <w:r>
              <w:rPr>
                <w:rFonts w:ascii="Arial" w:cs="Arial" w:eastAsia="Arial" w:hAnsi="Arial"/>
                <w:sz w:val="21"/>
                <w:szCs w:val="21"/>
                <w:color w:val="auto"/>
              </w:rPr>
              <w:t>-</w:t>
            </w:r>
          </w:p>
        </w:tc>
      </w:tr>
      <w:tr>
        <w:trPr>
          <w:trHeight w:val="243"/>
        </w:trPr>
        <w:tc>
          <w:tcPr>
            <w:tcW w:w="5080" w:type="dxa"/>
            <w:vAlign w:val="bottom"/>
            <w:gridSpan w:val="2"/>
            <w:shd w:val="clear" w:color="auto" w:fill="CCEEFF"/>
          </w:tcPr>
          <w:p>
            <w:pPr>
              <w:ind w:left="180"/>
              <w:spacing w:after="0"/>
              <w:rPr>
                <w:sz w:val="20"/>
                <w:szCs w:val="20"/>
                <w:color w:val="auto"/>
              </w:rPr>
            </w:pPr>
            <w:r>
              <w:rPr>
                <w:rFonts w:ascii="Arial" w:cs="Arial" w:eastAsia="Arial" w:hAnsi="Arial"/>
                <w:sz w:val="21"/>
                <w:szCs w:val="21"/>
                <w:color w:val="auto"/>
              </w:rPr>
              <w:t>Settlements</w:t>
            </w: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1"/>
                <w:szCs w:val="21"/>
                <w:color w:val="auto"/>
              </w:rPr>
              <w:t>(16,565)</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21"/>
                <w:szCs w:val="21"/>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1"/>
                <w:szCs w:val="21"/>
                <w:color w:val="auto"/>
              </w:rPr>
              <w:t>(14,650)</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16"/>
              <w:spacing w:after="0"/>
              <w:rPr>
                <w:sz w:val="20"/>
                <w:szCs w:val="20"/>
                <w:color w:val="auto"/>
              </w:rPr>
            </w:pPr>
            <w:r>
              <w:rPr>
                <w:rFonts w:ascii="Arial" w:cs="Arial" w:eastAsia="Arial" w:hAnsi="Arial"/>
                <w:sz w:val="21"/>
                <w:szCs w:val="21"/>
                <w:color w:val="auto"/>
              </w:rPr>
              <w:t>-</w:t>
            </w:r>
          </w:p>
        </w:tc>
      </w:tr>
      <w:tr>
        <w:trPr>
          <w:trHeight w:val="237"/>
        </w:trPr>
        <w:tc>
          <w:tcPr>
            <w:tcW w:w="5060" w:type="dxa"/>
            <w:vAlign w:val="bottom"/>
          </w:tcPr>
          <w:p>
            <w:pPr>
              <w:spacing w:after="0" w:line="237" w:lineRule="exact"/>
              <w:rPr>
                <w:sz w:val="20"/>
                <w:szCs w:val="20"/>
                <w:color w:val="auto"/>
              </w:rPr>
            </w:pPr>
            <w:r>
              <w:rPr>
                <w:rFonts w:ascii="Arial" w:cs="Arial" w:eastAsia="Arial" w:hAnsi="Arial"/>
                <w:sz w:val="21"/>
                <w:szCs w:val="21"/>
                <w:color w:val="auto"/>
              </w:rPr>
              <w:t>Closing Balance</w:t>
            </w:r>
          </w:p>
        </w:tc>
        <w:tc>
          <w:tcPr>
            <w:tcW w:w="2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w:t>
            </w:r>
          </w:p>
        </w:tc>
        <w:tc>
          <w:tcPr>
            <w:tcW w:w="1240" w:type="dxa"/>
            <w:vAlign w:val="bottom"/>
            <w:tcBorders>
              <w:top w:val="single" w:sz="8" w:color="auto"/>
              <w:bottom w:val="single" w:sz="8" w:color="auto"/>
            </w:tcBorders>
          </w:tcPr>
          <w:p>
            <w:pPr>
              <w:jc w:val="right"/>
              <w:ind w:right="36"/>
              <w:spacing w:after="0" w:line="237" w:lineRule="exact"/>
              <w:rPr>
                <w:sz w:val="20"/>
                <w:szCs w:val="20"/>
                <w:color w:val="auto"/>
              </w:rPr>
            </w:pPr>
            <w:r>
              <w:rPr>
                <w:rFonts w:ascii="Arial" w:cs="Arial" w:eastAsia="Arial" w:hAnsi="Arial"/>
                <w:sz w:val="21"/>
                <w:szCs w:val="21"/>
                <w:color w:val="auto"/>
              </w:rPr>
              <w:t>20,873</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ind w:right="376"/>
              <w:spacing w:after="0" w:line="237" w:lineRule="exact"/>
              <w:rPr>
                <w:sz w:val="20"/>
                <w:szCs w:val="20"/>
                <w:color w:val="auto"/>
              </w:rPr>
            </w:pPr>
            <w:r>
              <w:rPr>
                <w:rFonts w:ascii="Arial" w:cs="Arial" w:eastAsia="Arial" w:hAnsi="Arial"/>
                <w:sz w:val="21"/>
                <w:szCs w:val="21"/>
                <w:color w:val="auto"/>
              </w:rPr>
              <w:t>$</w:t>
            </w:r>
          </w:p>
        </w:tc>
        <w:tc>
          <w:tcPr>
            <w:tcW w:w="680" w:type="dxa"/>
            <w:vAlign w:val="bottom"/>
            <w:tcBorders>
              <w:top w:val="single" w:sz="8" w:color="auto"/>
              <w:bottom w:val="single" w:sz="8" w:color="auto"/>
            </w:tcBorders>
          </w:tcPr>
          <w:p>
            <w:pPr>
              <w:jc w:val="right"/>
              <w:ind w:right="36"/>
              <w:spacing w:after="0" w:line="237" w:lineRule="exact"/>
              <w:rPr>
                <w:sz w:val="20"/>
                <w:szCs w:val="20"/>
                <w:color w:val="auto"/>
              </w:rPr>
            </w:pPr>
            <w:r>
              <w:rPr>
                <w:rFonts w:ascii="Arial" w:cs="Arial" w:eastAsia="Arial" w:hAnsi="Arial"/>
                <w:sz w:val="21"/>
                <w:szCs w:val="21"/>
                <w:color w:val="auto"/>
                <w:w w:val="98"/>
              </w:rPr>
              <w:t>1,816</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w:t>
            </w:r>
          </w:p>
        </w:tc>
        <w:tc>
          <w:tcPr>
            <w:tcW w:w="1140" w:type="dxa"/>
            <w:vAlign w:val="bottom"/>
            <w:tcBorders>
              <w:top w:val="single" w:sz="8" w:color="auto"/>
              <w:bottom w:val="single" w:sz="8" w:color="auto"/>
            </w:tcBorders>
          </w:tcPr>
          <w:p>
            <w:pPr>
              <w:jc w:val="right"/>
              <w:ind w:right="56"/>
              <w:spacing w:after="0" w:line="237" w:lineRule="exact"/>
              <w:rPr>
                <w:sz w:val="20"/>
                <w:szCs w:val="20"/>
                <w:color w:val="auto"/>
              </w:rPr>
            </w:pPr>
            <w:r>
              <w:rPr>
                <w:rFonts w:ascii="Arial" w:cs="Arial" w:eastAsia="Arial" w:hAnsi="Arial"/>
                <w:sz w:val="21"/>
                <w:szCs w:val="21"/>
                <w:color w:val="auto"/>
              </w:rPr>
              <w:t>55,636</w:t>
            </w: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ind w:right="396"/>
              <w:spacing w:after="0" w:line="237" w:lineRule="exact"/>
              <w:rPr>
                <w:sz w:val="20"/>
                <w:szCs w:val="20"/>
                <w:color w:val="auto"/>
              </w:rPr>
            </w:pPr>
            <w:r>
              <w:rPr>
                <w:rFonts w:ascii="Arial" w:cs="Arial" w:eastAsia="Arial" w:hAnsi="Arial"/>
                <w:sz w:val="21"/>
                <w:szCs w:val="21"/>
                <w:color w:val="auto"/>
              </w:rPr>
              <w:t>$</w:t>
            </w:r>
          </w:p>
        </w:tc>
        <w:tc>
          <w:tcPr>
            <w:tcW w:w="600" w:type="dxa"/>
            <w:vAlign w:val="bottom"/>
            <w:tcBorders>
              <w:top w:val="single" w:sz="8" w:color="auto"/>
              <w:bottom w:val="single" w:sz="8" w:color="auto"/>
            </w:tcBorders>
          </w:tcPr>
          <w:p>
            <w:pPr>
              <w:jc w:val="right"/>
              <w:ind w:right="16"/>
              <w:spacing w:after="0" w:line="237" w:lineRule="exact"/>
              <w:rPr>
                <w:sz w:val="20"/>
                <w:szCs w:val="20"/>
                <w:color w:val="auto"/>
              </w:rPr>
            </w:pPr>
            <w:r>
              <w:rPr>
                <w:rFonts w:ascii="Arial" w:cs="Arial" w:eastAsia="Arial" w:hAnsi="Arial"/>
                <w:sz w:val="21"/>
                <w:szCs w:val="21"/>
                <w:color w:val="auto"/>
                <w:w w:val="87"/>
              </w:rPr>
              <w:t>4,091</w:t>
            </w:r>
          </w:p>
        </w:tc>
      </w:tr>
      <w:tr>
        <w:trPr>
          <w:trHeight w:val="20"/>
        </w:trPr>
        <w:tc>
          <w:tcPr>
            <w:tcW w:w="50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118" w:right="239" w:bottom="0" w:gutter="0" w:footer="0" w:header="0"/>
        </w:sectPr>
      </w:pPr>
    </w:p>
    <w:bookmarkStart w:id="10" w:name="page11"/>
    <w:bookmarkEnd w:id="10"/>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4" w:lineRule="exact"/>
        <w:rPr>
          <w:sz w:val="20"/>
          <w:szCs w:val="20"/>
          <w:color w:val="auto"/>
        </w:rPr>
      </w:pPr>
    </w:p>
    <w:p>
      <w:pPr>
        <w:ind w:left="660" w:hanging="652"/>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22"/>
          <w:szCs w:val="22"/>
          <w:color w:val="auto"/>
        </w:rPr>
        <w:t>INVENTORIES</w:t>
      </w:r>
    </w:p>
    <w:p>
      <w:pPr>
        <w:spacing w:after="0" w:line="233"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Inventories consist of the following at:</w:t>
      </w:r>
    </w:p>
    <w:p>
      <w:pPr>
        <w:spacing w:after="0" w:line="214"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6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0" w:type="dxa"/>
            <w:vAlign w:val="bottom"/>
            <w:gridSpan w:val="2"/>
          </w:tcPr>
          <w:p>
            <w:pPr>
              <w:ind w:left="80"/>
              <w:spacing w:after="0"/>
              <w:rPr>
                <w:sz w:val="20"/>
                <w:szCs w:val="20"/>
                <w:color w:val="auto"/>
              </w:rPr>
            </w:pPr>
            <w:r>
              <w:rPr>
                <w:rFonts w:ascii="Arial" w:cs="Arial" w:eastAsia="Arial" w:hAnsi="Arial"/>
                <w:sz w:val="21"/>
                <w:szCs w:val="21"/>
                <w:color w:val="auto"/>
              </w:rPr>
              <w:t>June 30,</w:t>
            </w:r>
          </w:p>
        </w:tc>
        <w:tc>
          <w:tcPr>
            <w:tcW w:w="1640" w:type="dxa"/>
            <w:vAlign w:val="bottom"/>
            <w:gridSpan w:val="3"/>
          </w:tcPr>
          <w:p>
            <w:pPr>
              <w:ind w:left="180"/>
              <w:spacing w:after="0"/>
              <w:rPr>
                <w:sz w:val="20"/>
                <w:szCs w:val="20"/>
                <w:color w:val="auto"/>
              </w:rPr>
            </w:pPr>
            <w:r>
              <w:rPr>
                <w:rFonts w:ascii="Arial" w:cs="Arial" w:eastAsia="Arial" w:hAnsi="Arial"/>
                <w:sz w:val="21"/>
                <w:szCs w:val="21"/>
                <w:color w:val="auto"/>
              </w:rPr>
              <w:t>December 31,</w:t>
            </w:r>
          </w:p>
        </w:tc>
      </w:tr>
      <w:tr>
        <w:trPr>
          <w:trHeight w:val="256"/>
        </w:trPr>
        <w:tc>
          <w:tcPr>
            <w:tcW w:w="66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56"/>
              <w:spacing w:after="0"/>
              <w:rPr>
                <w:sz w:val="20"/>
                <w:szCs w:val="20"/>
                <w:color w:val="auto"/>
              </w:rPr>
            </w:pPr>
            <w:r>
              <w:rPr>
                <w:rFonts w:ascii="Arial" w:cs="Arial" w:eastAsia="Arial" w:hAnsi="Arial"/>
                <w:sz w:val="21"/>
                <w:szCs w:val="21"/>
                <w:color w:val="auto"/>
              </w:rPr>
              <w:t>2012</w:t>
            </w:r>
          </w:p>
        </w:tc>
        <w:tc>
          <w:tcPr>
            <w:tcW w:w="8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6"/>
              <w:spacing w:after="0"/>
              <w:rPr>
                <w:sz w:val="20"/>
                <w:szCs w:val="20"/>
                <w:color w:val="auto"/>
              </w:rPr>
            </w:pPr>
            <w:r>
              <w:rPr>
                <w:rFonts w:ascii="Arial" w:cs="Arial" w:eastAsia="Arial" w:hAnsi="Arial"/>
                <w:sz w:val="21"/>
                <w:szCs w:val="21"/>
                <w:color w:val="auto"/>
              </w:rPr>
              <w:t>2011</w:t>
            </w:r>
          </w:p>
        </w:tc>
        <w:tc>
          <w:tcPr>
            <w:tcW w:w="120" w:type="dxa"/>
            <w:vAlign w:val="bottom"/>
            <w:tcBorders>
              <w:bottom w:val="single" w:sz="8" w:color="CCEEFF"/>
            </w:tcBorders>
          </w:tcPr>
          <w:p>
            <w:pPr>
              <w:spacing w:after="0"/>
              <w:rPr>
                <w:sz w:val="22"/>
                <w:szCs w:val="22"/>
                <w:color w:val="auto"/>
              </w:rPr>
            </w:pPr>
          </w:p>
        </w:tc>
      </w:tr>
      <w:tr>
        <w:trPr>
          <w:trHeight w:val="237"/>
        </w:trPr>
        <w:tc>
          <w:tcPr>
            <w:tcW w:w="6660" w:type="dxa"/>
            <w:vAlign w:val="bottom"/>
            <w:shd w:val="clear" w:color="auto" w:fill="CCEEFF"/>
          </w:tcPr>
          <w:p>
            <w:pPr>
              <w:spacing w:after="0" w:line="237" w:lineRule="exact"/>
              <w:rPr>
                <w:sz w:val="20"/>
                <w:szCs w:val="20"/>
                <w:color w:val="auto"/>
              </w:rPr>
            </w:pPr>
            <w:r>
              <w:rPr>
                <w:rFonts w:ascii="Arial" w:cs="Arial" w:eastAsia="Arial" w:hAnsi="Arial"/>
                <w:sz w:val="21"/>
                <w:szCs w:val="21"/>
                <w:color w:val="auto"/>
              </w:rPr>
              <w:t>Raw materials</w:t>
            </w:r>
          </w:p>
        </w:tc>
        <w:tc>
          <w:tcPr>
            <w:tcW w:w="340" w:type="dxa"/>
            <w:vAlign w:val="bottom"/>
            <w:shd w:val="clear" w:color="auto" w:fill="CCEEFF"/>
          </w:tcPr>
          <w:p>
            <w:pPr>
              <w:jc w:val="right"/>
              <w:spacing w:after="0" w:line="237" w:lineRule="exact"/>
              <w:rPr>
                <w:sz w:val="20"/>
                <w:szCs w:val="20"/>
                <w:color w:val="auto"/>
              </w:rPr>
            </w:pPr>
            <w:r>
              <w:rPr>
                <w:rFonts w:ascii="Arial" w:cs="Arial" w:eastAsia="Arial" w:hAnsi="Arial"/>
                <w:sz w:val="21"/>
                <w:szCs w:val="21"/>
                <w:color w:val="auto"/>
              </w:rPr>
              <w:t>$</w:t>
            </w:r>
          </w:p>
        </w:tc>
        <w:tc>
          <w:tcPr>
            <w:tcW w:w="1200" w:type="dxa"/>
            <w:vAlign w:val="bottom"/>
            <w:shd w:val="clear" w:color="auto" w:fill="CCEEFF"/>
          </w:tcPr>
          <w:p>
            <w:pPr>
              <w:jc w:val="right"/>
              <w:spacing w:after="0" w:line="237" w:lineRule="exact"/>
              <w:rPr>
                <w:sz w:val="20"/>
                <w:szCs w:val="20"/>
                <w:color w:val="auto"/>
              </w:rPr>
            </w:pPr>
            <w:r>
              <w:rPr>
                <w:rFonts w:ascii="Arial" w:cs="Arial" w:eastAsia="Arial" w:hAnsi="Arial"/>
                <w:sz w:val="21"/>
                <w:szCs w:val="21"/>
                <w:color w:val="auto"/>
              </w:rPr>
              <w:t>57,044</w:t>
            </w:r>
          </w:p>
        </w:tc>
        <w:tc>
          <w:tcPr>
            <w:tcW w:w="8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76"/>
              <w:spacing w:after="0" w:line="237" w:lineRule="exact"/>
              <w:rPr>
                <w:sz w:val="20"/>
                <w:szCs w:val="20"/>
                <w:color w:val="auto"/>
              </w:rPr>
            </w:pPr>
            <w:r>
              <w:rPr>
                <w:rFonts w:ascii="Arial" w:cs="Arial" w:eastAsia="Arial" w:hAnsi="Arial"/>
                <w:sz w:val="21"/>
                <w:szCs w:val="21"/>
                <w:color w:val="auto"/>
              </w:rPr>
              <w:t>$</w:t>
            </w:r>
          </w:p>
        </w:tc>
        <w:tc>
          <w:tcPr>
            <w:tcW w:w="1120" w:type="dxa"/>
            <w:vAlign w:val="bottom"/>
            <w:shd w:val="clear" w:color="auto" w:fill="CCEEFF"/>
          </w:tcPr>
          <w:p>
            <w:pPr>
              <w:jc w:val="right"/>
              <w:spacing w:after="0" w:line="237" w:lineRule="exact"/>
              <w:rPr>
                <w:sz w:val="20"/>
                <w:szCs w:val="20"/>
                <w:color w:val="auto"/>
              </w:rPr>
            </w:pPr>
            <w:r>
              <w:rPr>
                <w:rFonts w:ascii="Arial" w:cs="Arial" w:eastAsia="Arial" w:hAnsi="Arial"/>
                <w:sz w:val="21"/>
                <w:szCs w:val="21"/>
                <w:color w:val="auto"/>
              </w:rPr>
              <w:t>51,103</w:t>
            </w:r>
          </w:p>
        </w:tc>
        <w:tc>
          <w:tcPr>
            <w:tcW w:w="120" w:type="dxa"/>
            <w:vAlign w:val="bottom"/>
            <w:shd w:val="clear" w:color="auto" w:fill="CCEEFF"/>
          </w:tcPr>
          <w:p>
            <w:pPr>
              <w:spacing w:after="0"/>
              <w:rPr>
                <w:sz w:val="20"/>
                <w:szCs w:val="20"/>
                <w:color w:val="auto"/>
              </w:rPr>
            </w:pPr>
          </w:p>
        </w:tc>
      </w:tr>
      <w:tr>
        <w:trPr>
          <w:trHeight w:val="243"/>
        </w:trPr>
        <w:tc>
          <w:tcPr>
            <w:tcW w:w="6660" w:type="dxa"/>
            <w:vAlign w:val="bottom"/>
          </w:tcPr>
          <w:p>
            <w:pPr>
              <w:spacing w:after="0"/>
              <w:rPr>
                <w:sz w:val="20"/>
                <w:szCs w:val="20"/>
                <w:color w:val="auto"/>
              </w:rPr>
            </w:pPr>
            <w:r>
              <w:rPr>
                <w:rFonts w:ascii="Arial" w:cs="Arial" w:eastAsia="Arial" w:hAnsi="Arial"/>
                <w:sz w:val="21"/>
                <w:szCs w:val="21"/>
                <w:color w:val="auto"/>
              </w:rPr>
              <w:t>Finished goods</w:t>
            </w:r>
          </w:p>
        </w:tc>
        <w:tc>
          <w:tcPr>
            <w:tcW w:w="340" w:type="dxa"/>
            <w:vAlign w:val="bottom"/>
          </w:tcPr>
          <w:p>
            <w:pPr>
              <w:spacing w:after="0"/>
              <w:rPr>
                <w:sz w:val="21"/>
                <w:szCs w:val="21"/>
                <w:color w:val="auto"/>
              </w:rPr>
            </w:pPr>
          </w:p>
        </w:tc>
        <w:tc>
          <w:tcPr>
            <w:tcW w:w="2000" w:type="dxa"/>
            <w:vAlign w:val="bottom"/>
            <w:gridSpan w:val="2"/>
          </w:tcPr>
          <w:p>
            <w:pPr>
              <w:jc w:val="right"/>
              <w:ind w:right="800"/>
              <w:spacing w:after="0"/>
              <w:rPr>
                <w:sz w:val="20"/>
                <w:szCs w:val="20"/>
                <w:color w:val="auto"/>
              </w:rPr>
            </w:pPr>
            <w:r>
              <w:rPr>
                <w:rFonts w:ascii="Arial" w:cs="Arial" w:eastAsia="Arial" w:hAnsi="Arial"/>
                <w:sz w:val="21"/>
                <w:szCs w:val="21"/>
                <w:color w:val="auto"/>
              </w:rPr>
              <w:t>142,009</w:t>
            </w:r>
          </w:p>
        </w:tc>
        <w:tc>
          <w:tcPr>
            <w:tcW w:w="40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21"/>
                <w:szCs w:val="21"/>
                <w:color w:val="auto"/>
              </w:rPr>
              <w:t>104,510</w:t>
            </w:r>
          </w:p>
        </w:tc>
      </w:tr>
      <w:tr>
        <w:trPr>
          <w:trHeight w:val="237"/>
        </w:trPr>
        <w:tc>
          <w:tcPr>
            <w:tcW w:w="666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1"/>
                <w:szCs w:val="21"/>
                <w:color w:val="auto"/>
              </w:rPr>
              <w:t>$</w:t>
            </w:r>
          </w:p>
        </w:tc>
        <w:tc>
          <w:tcPr>
            <w:tcW w:w="1200" w:type="dxa"/>
            <w:vAlign w:val="bottom"/>
            <w:tcBorders>
              <w:top w:val="single" w:sz="8" w:color="auto"/>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1"/>
                <w:szCs w:val="21"/>
                <w:color w:val="auto"/>
              </w:rPr>
              <w:t>199,053</w:t>
            </w:r>
          </w:p>
        </w:tc>
        <w:tc>
          <w:tcPr>
            <w:tcW w:w="8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76"/>
              <w:spacing w:after="0" w:line="237" w:lineRule="exact"/>
              <w:rPr>
                <w:sz w:val="20"/>
                <w:szCs w:val="20"/>
                <w:color w:val="auto"/>
              </w:rPr>
            </w:pPr>
            <w:r>
              <w:rPr>
                <w:rFonts w:ascii="Arial" w:cs="Arial" w:eastAsia="Arial" w:hAnsi="Arial"/>
                <w:sz w:val="21"/>
                <w:szCs w:val="21"/>
                <w:color w:val="auto"/>
              </w:rPr>
              <w:t>$</w:t>
            </w:r>
          </w:p>
        </w:tc>
        <w:tc>
          <w:tcPr>
            <w:tcW w:w="1120" w:type="dxa"/>
            <w:vAlign w:val="bottom"/>
            <w:tcBorders>
              <w:top w:val="single" w:sz="8" w:color="auto"/>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1"/>
                <w:szCs w:val="21"/>
                <w:color w:val="auto"/>
              </w:rPr>
              <w:t>155,613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70" w:lineRule="exact"/>
        <w:rPr>
          <w:sz w:val="20"/>
          <w:szCs w:val="20"/>
          <w:color w:val="auto"/>
        </w:rPr>
      </w:pPr>
    </w:p>
    <w:p>
      <w:pPr>
        <w:ind w:left="660" w:hanging="652"/>
        <w:spacing w:after="0"/>
        <w:tabs>
          <w:tab w:leader="none" w:pos="660" w:val="left"/>
        </w:tabs>
        <w:numPr>
          <w:ilvl w:val="0"/>
          <w:numId w:val="9"/>
        </w:numPr>
        <w:rPr>
          <w:rFonts w:ascii="Arial" w:cs="Arial" w:eastAsia="Arial" w:hAnsi="Arial"/>
          <w:sz w:val="22"/>
          <w:szCs w:val="22"/>
          <w:color w:val="auto"/>
        </w:rPr>
      </w:pPr>
      <w:r>
        <w:rPr>
          <w:rFonts w:ascii="Arial" w:cs="Arial" w:eastAsia="Arial" w:hAnsi="Arial"/>
          <w:sz w:val="22"/>
          <w:szCs w:val="22"/>
          <w:color w:val="auto"/>
        </w:rPr>
        <w:t>PROPERTY AND EQUIPMENT, Net</w:t>
      </w:r>
    </w:p>
    <w:p>
      <w:pPr>
        <w:spacing w:after="0" w:line="233"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Property and equipment consist of the following at:</w:t>
      </w:r>
    </w:p>
    <w:p>
      <w:pPr>
        <w:spacing w:after="0" w:line="241"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6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0" w:type="dxa"/>
            <w:vAlign w:val="bottom"/>
            <w:gridSpan w:val="2"/>
          </w:tcPr>
          <w:p>
            <w:pPr>
              <w:ind w:left="80"/>
              <w:spacing w:after="0"/>
              <w:rPr>
                <w:sz w:val="20"/>
                <w:szCs w:val="20"/>
                <w:color w:val="auto"/>
              </w:rPr>
            </w:pPr>
            <w:r>
              <w:rPr>
                <w:rFonts w:ascii="Arial" w:cs="Arial" w:eastAsia="Arial" w:hAnsi="Arial"/>
                <w:sz w:val="21"/>
                <w:szCs w:val="21"/>
                <w:color w:val="auto"/>
              </w:rPr>
              <w:t>June 30,</w:t>
            </w:r>
          </w:p>
        </w:tc>
        <w:tc>
          <w:tcPr>
            <w:tcW w:w="1640" w:type="dxa"/>
            <w:vAlign w:val="bottom"/>
            <w:gridSpan w:val="2"/>
          </w:tcPr>
          <w:p>
            <w:pPr>
              <w:jc w:val="right"/>
              <w:ind w:right="196"/>
              <w:spacing w:after="0"/>
              <w:rPr>
                <w:sz w:val="20"/>
                <w:szCs w:val="20"/>
                <w:color w:val="auto"/>
              </w:rPr>
            </w:pPr>
            <w:r>
              <w:rPr>
                <w:rFonts w:ascii="Arial" w:cs="Arial" w:eastAsia="Arial" w:hAnsi="Arial"/>
                <w:sz w:val="21"/>
                <w:szCs w:val="21"/>
                <w:color w:val="auto"/>
              </w:rPr>
              <w:t>December 31,</w:t>
            </w:r>
          </w:p>
        </w:tc>
      </w:tr>
      <w:tr>
        <w:trPr>
          <w:trHeight w:val="256"/>
        </w:trPr>
        <w:tc>
          <w:tcPr>
            <w:tcW w:w="66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76"/>
              <w:spacing w:after="0"/>
              <w:rPr>
                <w:sz w:val="20"/>
                <w:szCs w:val="20"/>
                <w:color w:val="auto"/>
              </w:rPr>
            </w:pPr>
            <w:r>
              <w:rPr>
                <w:rFonts w:ascii="Arial" w:cs="Arial" w:eastAsia="Arial" w:hAnsi="Arial"/>
                <w:sz w:val="21"/>
                <w:szCs w:val="21"/>
                <w:color w:val="auto"/>
              </w:rPr>
              <w:t>2012</w:t>
            </w:r>
          </w:p>
        </w:tc>
        <w:tc>
          <w:tcPr>
            <w:tcW w:w="68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56"/>
              <w:spacing w:after="0"/>
              <w:rPr>
                <w:sz w:val="20"/>
                <w:szCs w:val="20"/>
                <w:color w:val="auto"/>
              </w:rPr>
            </w:pPr>
            <w:r>
              <w:rPr>
                <w:rFonts w:ascii="Arial" w:cs="Arial" w:eastAsia="Arial" w:hAnsi="Arial"/>
                <w:sz w:val="21"/>
                <w:szCs w:val="21"/>
                <w:color w:val="auto"/>
              </w:rPr>
              <w:t>2011</w:t>
            </w:r>
          </w:p>
        </w:tc>
      </w:tr>
      <w:tr>
        <w:trPr>
          <w:trHeight w:val="237"/>
        </w:trPr>
        <w:tc>
          <w:tcPr>
            <w:tcW w:w="6660" w:type="dxa"/>
            <w:vAlign w:val="bottom"/>
            <w:shd w:val="clear" w:color="auto" w:fill="CCEEFF"/>
          </w:tcPr>
          <w:p>
            <w:pPr>
              <w:spacing w:after="0" w:line="237" w:lineRule="exact"/>
              <w:rPr>
                <w:sz w:val="20"/>
                <w:szCs w:val="20"/>
                <w:color w:val="auto"/>
              </w:rPr>
            </w:pPr>
            <w:r>
              <w:rPr>
                <w:rFonts w:ascii="Arial" w:cs="Arial" w:eastAsia="Arial" w:hAnsi="Arial"/>
                <w:sz w:val="21"/>
                <w:szCs w:val="21"/>
                <w:color w:val="auto"/>
              </w:rPr>
              <w:t>Land</w:t>
            </w:r>
          </w:p>
        </w:tc>
        <w:tc>
          <w:tcPr>
            <w:tcW w:w="340" w:type="dxa"/>
            <w:vAlign w:val="bottom"/>
            <w:shd w:val="clear" w:color="auto" w:fill="CCEEFF"/>
          </w:tcPr>
          <w:p>
            <w:pPr>
              <w:jc w:val="right"/>
              <w:spacing w:after="0" w:line="237" w:lineRule="exact"/>
              <w:rPr>
                <w:sz w:val="20"/>
                <w:szCs w:val="20"/>
                <w:color w:val="auto"/>
              </w:rPr>
            </w:pPr>
            <w:r>
              <w:rPr>
                <w:rFonts w:ascii="Arial" w:cs="Arial" w:eastAsia="Arial" w:hAnsi="Arial"/>
                <w:sz w:val="21"/>
                <w:szCs w:val="21"/>
                <w:color w:val="auto"/>
              </w:rPr>
              <w:t>$</w:t>
            </w:r>
          </w:p>
        </w:tc>
        <w:tc>
          <w:tcPr>
            <w:tcW w:w="1320" w:type="dxa"/>
            <w:vAlign w:val="bottom"/>
            <w:shd w:val="clear" w:color="auto" w:fill="CCEEFF"/>
          </w:tcPr>
          <w:p>
            <w:pPr>
              <w:jc w:val="right"/>
              <w:ind w:right="16"/>
              <w:spacing w:after="0" w:line="237" w:lineRule="exact"/>
              <w:rPr>
                <w:sz w:val="20"/>
                <w:szCs w:val="20"/>
                <w:color w:val="auto"/>
              </w:rPr>
            </w:pPr>
            <w:r>
              <w:rPr>
                <w:rFonts w:ascii="Arial" w:cs="Arial" w:eastAsia="Arial" w:hAnsi="Arial"/>
                <w:sz w:val="21"/>
                <w:szCs w:val="21"/>
                <w:color w:val="auto"/>
              </w:rPr>
              <w:t>3,923</w:t>
            </w:r>
          </w:p>
        </w:tc>
        <w:tc>
          <w:tcPr>
            <w:tcW w:w="6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56"/>
              <w:spacing w:after="0" w:line="237" w:lineRule="exact"/>
              <w:rPr>
                <w:sz w:val="20"/>
                <w:szCs w:val="20"/>
                <w:color w:val="auto"/>
              </w:rPr>
            </w:pPr>
            <w:r>
              <w:rPr>
                <w:rFonts w:ascii="Arial" w:cs="Arial" w:eastAsia="Arial" w:hAnsi="Arial"/>
                <w:sz w:val="21"/>
                <w:szCs w:val="21"/>
                <w:color w:val="auto"/>
              </w:rPr>
              <w:t>$</w:t>
            </w:r>
          </w:p>
        </w:tc>
        <w:tc>
          <w:tcPr>
            <w:tcW w:w="1240" w:type="dxa"/>
            <w:vAlign w:val="bottom"/>
            <w:shd w:val="clear" w:color="auto" w:fill="CCEEFF"/>
          </w:tcPr>
          <w:p>
            <w:pPr>
              <w:jc w:val="right"/>
              <w:spacing w:after="0" w:line="237" w:lineRule="exact"/>
              <w:rPr>
                <w:sz w:val="20"/>
                <w:szCs w:val="20"/>
                <w:color w:val="auto"/>
              </w:rPr>
            </w:pPr>
            <w:r>
              <w:rPr>
                <w:rFonts w:ascii="Arial" w:cs="Arial" w:eastAsia="Arial" w:hAnsi="Arial"/>
                <w:sz w:val="21"/>
                <w:szCs w:val="21"/>
                <w:color w:val="auto"/>
              </w:rPr>
              <w:t>3,626</w:t>
            </w:r>
          </w:p>
        </w:tc>
      </w:tr>
      <w:tr>
        <w:trPr>
          <w:trHeight w:val="243"/>
        </w:trPr>
        <w:tc>
          <w:tcPr>
            <w:tcW w:w="6660" w:type="dxa"/>
            <w:vAlign w:val="bottom"/>
          </w:tcPr>
          <w:p>
            <w:pPr>
              <w:spacing w:after="0"/>
              <w:rPr>
                <w:sz w:val="20"/>
                <w:szCs w:val="20"/>
                <w:color w:val="auto"/>
              </w:rPr>
            </w:pPr>
            <w:r>
              <w:rPr>
                <w:rFonts w:ascii="Arial" w:cs="Arial" w:eastAsia="Arial" w:hAnsi="Arial"/>
                <w:sz w:val="21"/>
                <w:szCs w:val="21"/>
                <w:color w:val="auto"/>
              </w:rPr>
              <w:t>Leasehold improvements</w:t>
            </w:r>
          </w:p>
        </w:tc>
        <w:tc>
          <w:tcPr>
            <w:tcW w:w="340" w:type="dxa"/>
            <w:vAlign w:val="bottom"/>
          </w:tcPr>
          <w:p>
            <w:pPr>
              <w:spacing w:after="0"/>
              <w:rPr>
                <w:sz w:val="21"/>
                <w:szCs w:val="21"/>
                <w:color w:val="auto"/>
              </w:rPr>
            </w:pPr>
          </w:p>
        </w:tc>
        <w:tc>
          <w:tcPr>
            <w:tcW w:w="1320" w:type="dxa"/>
            <w:vAlign w:val="bottom"/>
          </w:tcPr>
          <w:p>
            <w:pPr>
              <w:jc w:val="right"/>
              <w:ind w:right="16"/>
              <w:spacing w:after="0"/>
              <w:rPr>
                <w:sz w:val="20"/>
                <w:szCs w:val="20"/>
                <w:color w:val="auto"/>
              </w:rPr>
            </w:pPr>
            <w:r>
              <w:rPr>
                <w:rFonts w:ascii="Arial" w:cs="Arial" w:eastAsia="Arial" w:hAnsi="Arial"/>
                <w:sz w:val="21"/>
                <w:szCs w:val="21"/>
                <w:color w:val="auto"/>
              </w:rPr>
              <w:t>2,264</w:t>
            </w: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1"/>
                <w:szCs w:val="21"/>
                <w:color w:val="auto"/>
              </w:rPr>
              <w:t>2,132</w:t>
            </w:r>
          </w:p>
        </w:tc>
      </w:tr>
      <w:tr>
        <w:trPr>
          <w:trHeight w:val="243"/>
        </w:trPr>
        <w:tc>
          <w:tcPr>
            <w:tcW w:w="6660" w:type="dxa"/>
            <w:vAlign w:val="bottom"/>
            <w:shd w:val="clear" w:color="auto" w:fill="CCEEFF"/>
          </w:tcPr>
          <w:p>
            <w:pPr>
              <w:spacing w:after="0"/>
              <w:rPr>
                <w:sz w:val="20"/>
                <w:szCs w:val="20"/>
                <w:color w:val="auto"/>
              </w:rPr>
            </w:pPr>
            <w:r>
              <w:rPr>
                <w:rFonts w:ascii="Arial" w:cs="Arial" w:eastAsia="Arial" w:hAnsi="Arial"/>
                <w:sz w:val="21"/>
                <w:szCs w:val="21"/>
                <w:color w:val="auto"/>
              </w:rPr>
              <w:t>Furniture and fixtures</w:t>
            </w: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6"/>
              <w:spacing w:after="0"/>
              <w:rPr>
                <w:sz w:val="20"/>
                <w:szCs w:val="20"/>
                <w:color w:val="auto"/>
              </w:rPr>
            </w:pPr>
            <w:r>
              <w:rPr>
                <w:rFonts w:ascii="Arial" w:cs="Arial" w:eastAsia="Arial" w:hAnsi="Arial"/>
                <w:sz w:val="21"/>
                <w:szCs w:val="21"/>
                <w:color w:val="auto"/>
              </w:rPr>
              <w:t>2,086</w:t>
            </w:r>
          </w:p>
        </w:tc>
        <w:tc>
          <w:tcPr>
            <w:tcW w:w="6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1"/>
                <w:szCs w:val="21"/>
                <w:color w:val="auto"/>
              </w:rPr>
              <w:t>2,000</w:t>
            </w:r>
          </w:p>
        </w:tc>
      </w:tr>
      <w:tr>
        <w:trPr>
          <w:trHeight w:val="243"/>
        </w:trPr>
        <w:tc>
          <w:tcPr>
            <w:tcW w:w="6660" w:type="dxa"/>
            <w:vAlign w:val="bottom"/>
          </w:tcPr>
          <w:p>
            <w:pPr>
              <w:spacing w:after="0"/>
              <w:rPr>
                <w:sz w:val="20"/>
                <w:szCs w:val="20"/>
                <w:color w:val="auto"/>
              </w:rPr>
            </w:pPr>
            <w:r>
              <w:rPr>
                <w:rFonts w:ascii="Arial" w:cs="Arial" w:eastAsia="Arial" w:hAnsi="Arial"/>
                <w:sz w:val="21"/>
                <w:szCs w:val="21"/>
                <w:color w:val="auto"/>
              </w:rPr>
              <w:t>Office and computer equipment</w:t>
            </w:r>
          </w:p>
        </w:tc>
        <w:tc>
          <w:tcPr>
            <w:tcW w:w="340" w:type="dxa"/>
            <w:vAlign w:val="bottom"/>
          </w:tcPr>
          <w:p>
            <w:pPr>
              <w:spacing w:after="0"/>
              <w:rPr>
                <w:sz w:val="21"/>
                <w:szCs w:val="21"/>
                <w:color w:val="auto"/>
              </w:rPr>
            </w:pPr>
          </w:p>
        </w:tc>
        <w:tc>
          <w:tcPr>
            <w:tcW w:w="1320" w:type="dxa"/>
            <w:vAlign w:val="bottom"/>
          </w:tcPr>
          <w:p>
            <w:pPr>
              <w:jc w:val="right"/>
              <w:ind w:right="16"/>
              <w:spacing w:after="0"/>
              <w:rPr>
                <w:sz w:val="20"/>
                <w:szCs w:val="20"/>
                <w:color w:val="auto"/>
              </w:rPr>
            </w:pPr>
            <w:r>
              <w:rPr>
                <w:rFonts w:ascii="Arial" w:cs="Arial" w:eastAsia="Arial" w:hAnsi="Arial"/>
                <w:sz w:val="21"/>
                <w:szCs w:val="21"/>
                <w:color w:val="auto"/>
              </w:rPr>
              <w:t>7,415</w:t>
            </w: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1"/>
                <w:szCs w:val="21"/>
                <w:color w:val="auto"/>
              </w:rPr>
              <w:t>6,727</w:t>
            </w:r>
          </w:p>
        </w:tc>
      </w:tr>
      <w:tr>
        <w:trPr>
          <w:trHeight w:val="243"/>
        </w:trPr>
        <w:tc>
          <w:tcPr>
            <w:tcW w:w="6660" w:type="dxa"/>
            <w:vAlign w:val="bottom"/>
            <w:shd w:val="clear" w:color="auto" w:fill="CCEEFF"/>
          </w:tcPr>
          <w:p>
            <w:pPr>
              <w:spacing w:after="0"/>
              <w:rPr>
                <w:sz w:val="20"/>
                <w:szCs w:val="20"/>
                <w:color w:val="auto"/>
              </w:rPr>
            </w:pPr>
            <w:r>
              <w:rPr>
                <w:rFonts w:ascii="Arial" w:cs="Arial" w:eastAsia="Arial" w:hAnsi="Arial"/>
                <w:sz w:val="21"/>
                <w:szCs w:val="21"/>
                <w:color w:val="auto"/>
              </w:rPr>
              <w:t>Computer software</w:t>
            </w: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6"/>
              <w:spacing w:after="0"/>
              <w:rPr>
                <w:sz w:val="20"/>
                <w:szCs w:val="20"/>
                <w:color w:val="auto"/>
              </w:rPr>
            </w:pPr>
            <w:r>
              <w:rPr>
                <w:rFonts w:ascii="Arial" w:cs="Arial" w:eastAsia="Arial" w:hAnsi="Arial"/>
                <w:sz w:val="21"/>
                <w:szCs w:val="21"/>
                <w:color w:val="auto"/>
              </w:rPr>
              <w:t>9,344</w:t>
            </w:r>
          </w:p>
        </w:tc>
        <w:tc>
          <w:tcPr>
            <w:tcW w:w="6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1"/>
                <w:szCs w:val="21"/>
                <w:color w:val="auto"/>
              </w:rPr>
              <w:t>9,303</w:t>
            </w:r>
          </w:p>
        </w:tc>
      </w:tr>
      <w:tr>
        <w:trPr>
          <w:trHeight w:val="243"/>
        </w:trPr>
        <w:tc>
          <w:tcPr>
            <w:tcW w:w="6660" w:type="dxa"/>
            <w:vAlign w:val="bottom"/>
          </w:tcPr>
          <w:p>
            <w:pPr>
              <w:spacing w:after="0"/>
              <w:rPr>
                <w:sz w:val="20"/>
                <w:szCs w:val="20"/>
                <w:color w:val="auto"/>
              </w:rPr>
            </w:pPr>
            <w:r>
              <w:rPr>
                <w:rFonts w:ascii="Arial" w:cs="Arial" w:eastAsia="Arial" w:hAnsi="Arial"/>
                <w:sz w:val="21"/>
                <w:szCs w:val="21"/>
                <w:color w:val="auto"/>
              </w:rPr>
              <w:t>Equipment</w:t>
            </w:r>
          </w:p>
        </w:tc>
        <w:tc>
          <w:tcPr>
            <w:tcW w:w="340" w:type="dxa"/>
            <w:vAlign w:val="bottom"/>
          </w:tcPr>
          <w:p>
            <w:pPr>
              <w:spacing w:after="0"/>
              <w:rPr>
                <w:sz w:val="21"/>
                <w:szCs w:val="21"/>
                <w:color w:val="auto"/>
              </w:rPr>
            </w:pPr>
          </w:p>
        </w:tc>
        <w:tc>
          <w:tcPr>
            <w:tcW w:w="1320" w:type="dxa"/>
            <w:vAlign w:val="bottom"/>
          </w:tcPr>
          <w:p>
            <w:pPr>
              <w:jc w:val="right"/>
              <w:ind w:right="16"/>
              <w:spacing w:after="0"/>
              <w:rPr>
                <w:sz w:val="20"/>
                <w:szCs w:val="20"/>
                <w:color w:val="auto"/>
              </w:rPr>
            </w:pPr>
            <w:r>
              <w:rPr>
                <w:rFonts w:ascii="Arial" w:cs="Arial" w:eastAsia="Arial" w:hAnsi="Arial"/>
                <w:sz w:val="21"/>
                <w:szCs w:val="21"/>
                <w:color w:val="auto"/>
              </w:rPr>
              <w:t>40,247</w:t>
            </w: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1"/>
                <w:szCs w:val="21"/>
                <w:color w:val="auto"/>
              </w:rPr>
              <w:t>33,286</w:t>
            </w:r>
          </w:p>
        </w:tc>
      </w:tr>
      <w:tr>
        <w:trPr>
          <w:trHeight w:val="243"/>
        </w:trPr>
        <w:tc>
          <w:tcPr>
            <w:tcW w:w="6660" w:type="dxa"/>
            <w:vAlign w:val="bottom"/>
            <w:shd w:val="clear" w:color="auto" w:fill="CCEEFF"/>
          </w:tcPr>
          <w:p>
            <w:pPr>
              <w:spacing w:after="0"/>
              <w:rPr>
                <w:sz w:val="20"/>
                <w:szCs w:val="20"/>
                <w:color w:val="auto"/>
              </w:rPr>
            </w:pPr>
            <w:r>
              <w:rPr>
                <w:rFonts w:ascii="Arial" w:cs="Arial" w:eastAsia="Arial" w:hAnsi="Arial"/>
                <w:sz w:val="21"/>
                <w:szCs w:val="21"/>
                <w:color w:val="auto"/>
              </w:rPr>
              <w:t>Buildings</w:t>
            </w: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6"/>
              <w:spacing w:after="0"/>
              <w:rPr>
                <w:sz w:val="20"/>
                <w:szCs w:val="20"/>
                <w:color w:val="auto"/>
              </w:rPr>
            </w:pPr>
            <w:r>
              <w:rPr>
                <w:rFonts w:ascii="Arial" w:cs="Arial" w:eastAsia="Arial" w:hAnsi="Arial"/>
                <w:sz w:val="21"/>
                <w:szCs w:val="21"/>
                <w:color w:val="auto"/>
              </w:rPr>
              <w:t>12,542</w:t>
            </w:r>
          </w:p>
        </w:tc>
        <w:tc>
          <w:tcPr>
            <w:tcW w:w="6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1"/>
                <w:szCs w:val="21"/>
                <w:color w:val="auto"/>
              </w:rPr>
              <w:t>3,211</w:t>
            </w:r>
          </w:p>
        </w:tc>
      </w:tr>
      <w:tr>
        <w:trPr>
          <w:trHeight w:val="243"/>
        </w:trPr>
        <w:tc>
          <w:tcPr>
            <w:tcW w:w="6660" w:type="dxa"/>
            <w:vAlign w:val="bottom"/>
            <w:tcBorders>
              <w:bottom w:val="single" w:sz="8" w:color="CCEEFF"/>
            </w:tcBorders>
          </w:tcPr>
          <w:p>
            <w:pPr>
              <w:spacing w:after="0"/>
              <w:rPr>
                <w:sz w:val="20"/>
                <w:szCs w:val="20"/>
                <w:color w:val="auto"/>
              </w:rPr>
            </w:pPr>
            <w:r>
              <w:rPr>
                <w:rFonts w:ascii="Arial" w:cs="Arial" w:eastAsia="Arial" w:hAnsi="Arial"/>
                <w:sz w:val="21"/>
                <w:szCs w:val="21"/>
                <w:color w:val="auto"/>
              </w:rPr>
              <w:t>Vehicles</w:t>
            </w:r>
          </w:p>
        </w:tc>
        <w:tc>
          <w:tcPr>
            <w:tcW w:w="3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6"/>
              <w:spacing w:after="0"/>
              <w:rPr>
                <w:sz w:val="20"/>
                <w:szCs w:val="20"/>
                <w:color w:val="auto"/>
              </w:rPr>
            </w:pPr>
            <w:r>
              <w:rPr>
                <w:rFonts w:ascii="Arial" w:cs="Arial" w:eastAsia="Arial" w:hAnsi="Arial"/>
                <w:sz w:val="21"/>
                <w:szCs w:val="21"/>
                <w:color w:val="auto"/>
              </w:rPr>
              <w:t>24,447</w:t>
            </w:r>
          </w:p>
        </w:tc>
        <w:tc>
          <w:tcPr>
            <w:tcW w:w="6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21,827</w:t>
            </w:r>
          </w:p>
        </w:tc>
      </w:tr>
      <w:tr>
        <w:trPr>
          <w:trHeight w:val="237"/>
        </w:trPr>
        <w:tc>
          <w:tcPr>
            <w:tcW w:w="66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6"/>
              <w:spacing w:after="0" w:line="237" w:lineRule="exact"/>
              <w:rPr>
                <w:sz w:val="20"/>
                <w:szCs w:val="20"/>
                <w:color w:val="auto"/>
              </w:rPr>
            </w:pPr>
            <w:r>
              <w:rPr>
                <w:rFonts w:ascii="Arial" w:cs="Arial" w:eastAsia="Arial" w:hAnsi="Arial"/>
                <w:sz w:val="21"/>
                <w:szCs w:val="21"/>
                <w:color w:val="auto"/>
              </w:rPr>
              <w:t>102,268</w:t>
            </w:r>
          </w:p>
        </w:tc>
        <w:tc>
          <w:tcPr>
            <w:tcW w:w="6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line="237" w:lineRule="exact"/>
              <w:rPr>
                <w:sz w:val="20"/>
                <w:szCs w:val="20"/>
                <w:color w:val="auto"/>
              </w:rPr>
            </w:pPr>
            <w:r>
              <w:rPr>
                <w:rFonts w:ascii="Arial" w:cs="Arial" w:eastAsia="Arial" w:hAnsi="Arial"/>
                <w:sz w:val="21"/>
                <w:szCs w:val="21"/>
                <w:color w:val="auto"/>
              </w:rPr>
              <w:t>82,112</w:t>
            </w:r>
          </w:p>
        </w:tc>
      </w:tr>
      <w:tr>
        <w:trPr>
          <w:trHeight w:val="243"/>
        </w:trPr>
        <w:tc>
          <w:tcPr>
            <w:tcW w:w="6660" w:type="dxa"/>
            <w:vAlign w:val="bottom"/>
            <w:tcBorders>
              <w:bottom w:val="single" w:sz="8" w:color="CCEEFF"/>
            </w:tcBorders>
          </w:tcPr>
          <w:p>
            <w:pPr>
              <w:spacing w:after="0"/>
              <w:rPr>
                <w:sz w:val="20"/>
                <w:szCs w:val="20"/>
                <w:color w:val="auto"/>
              </w:rPr>
            </w:pPr>
            <w:r>
              <w:rPr>
                <w:rFonts w:ascii="Arial" w:cs="Arial" w:eastAsia="Arial" w:hAnsi="Arial"/>
                <w:sz w:val="21"/>
                <w:szCs w:val="21"/>
                <w:color w:val="auto"/>
              </w:rPr>
              <w:t>Less: accumulated depreciation and amortization</w:t>
            </w:r>
          </w:p>
        </w:tc>
        <w:tc>
          <w:tcPr>
            <w:tcW w:w="3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(46,324)</w:t>
            </w:r>
          </w:p>
        </w:tc>
        <w:tc>
          <w:tcPr>
            <w:tcW w:w="6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(36,961)</w:t>
            </w:r>
          </w:p>
        </w:tc>
      </w:tr>
      <w:tr>
        <w:trPr>
          <w:trHeight w:val="237"/>
        </w:trPr>
        <w:tc>
          <w:tcPr>
            <w:tcW w:w="66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1"/>
                <w:szCs w:val="21"/>
                <w:color w:val="auto"/>
              </w:rPr>
              <w:t>$</w:t>
            </w:r>
          </w:p>
        </w:tc>
        <w:tc>
          <w:tcPr>
            <w:tcW w:w="1320" w:type="dxa"/>
            <w:vAlign w:val="bottom"/>
            <w:tcBorders>
              <w:bottom w:val="single" w:sz="8" w:color="auto"/>
            </w:tcBorders>
            <w:shd w:val="clear" w:color="auto" w:fill="CCEEFF"/>
          </w:tcPr>
          <w:p>
            <w:pPr>
              <w:jc w:val="right"/>
              <w:ind w:right="16"/>
              <w:spacing w:after="0" w:line="237" w:lineRule="exact"/>
              <w:rPr>
                <w:sz w:val="20"/>
                <w:szCs w:val="20"/>
                <w:color w:val="auto"/>
              </w:rPr>
            </w:pPr>
            <w:r>
              <w:rPr>
                <w:rFonts w:ascii="Arial" w:cs="Arial" w:eastAsia="Arial" w:hAnsi="Arial"/>
                <w:sz w:val="21"/>
                <w:szCs w:val="21"/>
                <w:color w:val="auto"/>
              </w:rPr>
              <w:t>55,944</w:t>
            </w:r>
          </w:p>
        </w:tc>
        <w:tc>
          <w:tcPr>
            <w:tcW w:w="6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56"/>
              <w:spacing w:after="0" w:line="237" w:lineRule="exact"/>
              <w:rPr>
                <w:sz w:val="20"/>
                <w:szCs w:val="20"/>
                <w:color w:val="auto"/>
              </w:rPr>
            </w:pPr>
            <w:r>
              <w:rPr>
                <w:rFonts w:ascii="Arial" w:cs="Arial" w:eastAsia="Arial" w:hAnsi="Arial"/>
                <w:sz w:val="21"/>
                <w:szCs w:val="21"/>
                <w:color w:val="auto"/>
              </w:rPr>
              <w:t>$</w:t>
            </w:r>
          </w:p>
        </w:tc>
        <w:tc>
          <w:tcPr>
            <w:tcW w:w="1240" w:type="dxa"/>
            <w:vAlign w:val="bottom"/>
            <w:tcBorders>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1"/>
                <w:szCs w:val="21"/>
                <w:color w:val="auto"/>
              </w:rPr>
              <w:t>45,151</w:t>
            </w:r>
          </w:p>
        </w:tc>
      </w:tr>
      <w:tr>
        <w:trPr>
          <w:trHeight w:val="20"/>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22"/>
          <w:szCs w:val="22"/>
          <w:color w:val="auto"/>
        </w:rPr>
        <w:t>INTANGIBLES, Net</w:t>
      </w:r>
    </w:p>
    <w:p>
      <w:pPr>
        <w:spacing w:after="0" w:line="233"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Intangibles consist of the following at:</w:t>
      </w:r>
    </w:p>
    <w:p>
      <w:pPr>
        <w:spacing w:after="0" w:line="241"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6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0" w:type="dxa"/>
            <w:vAlign w:val="bottom"/>
            <w:gridSpan w:val="2"/>
          </w:tcPr>
          <w:p>
            <w:pPr>
              <w:ind w:left="80"/>
              <w:spacing w:after="0"/>
              <w:rPr>
                <w:sz w:val="20"/>
                <w:szCs w:val="20"/>
                <w:color w:val="auto"/>
              </w:rPr>
            </w:pPr>
            <w:r>
              <w:rPr>
                <w:rFonts w:ascii="Arial" w:cs="Arial" w:eastAsia="Arial" w:hAnsi="Arial"/>
                <w:sz w:val="21"/>
                <w:szCs w:val="21"/>
                <w:color w:val="auto"/>
              </w:rPr>
              <w:t>June 30,</w:t>
            </w:r>
          </w:p>
        </w:tc>
        <w:tc>
          <w:tcPr>
            <w:tcW w:w="1640" w:type="dxa"/>
            <w:vAlign w:val="bottom"/>
            <w:gridSpan w:val="2"/>
          </w:tcPr>
          <w:p>
            <w:pPr>
              <w:jc w:val="right"/>
              <w:ind w:right="196"/>
              <w:spacing w:after="0"/>
              <w:rPr>
                <w:sz w:val="20"/>
                <w:szCs w:val="20"/>
                <w:color w:val="auto"/>
              </w:rPr>
            </w:pPr>
            <w:r>
              <w:rPr>
                <w:rFonts w:ascii="Arial" w:cs="Arial" w:eastAsia="Arial" w:hAnsi="Arial"/>
                <w:sz w:val="21"/>
                <w:szCs w:val="21"/>
                <w:color w:val="auto"/>
              </w:rPr>
              <w:t>December 31,</w:t>
            </w:r>
          </w:p>
        </w:tc>
      </w:tr>
      <w:tr>
        <w:trPr>
          <w:trHeight w:val="256"/>
        </w:trPr>
        <w:tc>
          <w:tcPr>
            <w:tcW w:w="66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76"/>
              <w:spacing w:after="0"/>
              <w:rPr>
                <w:sz w:val="20"/>
                <w:szCs w:val="20"/>
                <w:color w:val="auto"/>
              </w:rPr>
            </w:pPr>
            <w:r>
              <w:rPr>
                <w:rFonts w:ascii="Arial" w:cs="Arial" w:eastAsia="Arial" w:hAnsi="Arial"/>
                <w:sz w:val="21"/>
                <w:szCs w:val="21"/>
                <w:color w:val="auto"/>
              </w:rPr>
              <w:t>2012</w:t>
            </w:r>
          </w:p>
        </w:tc>
        <w:tc>
          <w:tcPr>
            <w:tcW w:w="68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56"/>
              <w:spacing w:after="0"/>
              <w:rPr>
                <w:sz w:val="20"/>
                <w:szCs w:val="20"/>
                <w:color w:val="auto"/>
              </w:rPr>
            </w:pPr>
            <w:r>
              <w:rPr>
                <w:rFonts w:ascii="Arial" w:cs="Arial" w:eastAsia="Arial" w:hAnsi="Arial"/>
                <w:sz w:val="21"/>
                <w:szCs w:val="21"/>
                <w:color w:val="auto"/>
              </w:rPr>
              <w:t>2011</w:t>
            </w:r>
          </w:p>
        </w:tc>
      </w:tr>
      <w:tr>
        <w:trPr>
          <w:trHeight w:val="237"/>
        </w:trPr>
        <w:tc>
          <w:tcPr>
            <w:tcW w:w="6660" w:type="dxa"/>
            <w:vAlign w:val="bottom"/>
            <w:shd w:val="clear" w:color="auto" w:fill="CCEEFF"/>
          </w:tcPr>
          <w:p>
            <w:pPr>
              <w:spacing w:after="0" w:line="237" w:lineRule="exact"/>
              <w:rPr>
                <w:sz w:val="20"/>
                <w:szCs w:val="20"/>
                <w:color w:val="auto"/>
              </w:rPr>
            </w:pPr>
            <w:r>
              <w:rPr>
                <w:rFonts w:ascii="Arial" w:cs="Arial" w:eastAsia="Arial" w:hAnsi="Arial"/>
                <w:sz w:val="21"/>
                <w:szCs w:val="21"/>
                <w:color w:val="auto"/>
              </w:rPr>
              <w:t>Amortizing intangibles</w:t>
            </w:r>
          </w:p>
        </w:tc>
        <w:tc>
          <w:tcPr>
            <w:tcW w:w="340" w:type="dxa"/>
            <w:vAlign w:val="bottom"/>
            <w:shd w:val="clear" w:color="auto" w:fill="CCEEFF"/>
          </w:tcPr>
          <w:p>
            <w:pPr>
              <w:jc w:val="right"/>
              <w:spacing w:after="0" w:line="237" w:lineRule="exact"/>
              <w:rPr>
                <w:sz w:val="20"/>
                <w:szCs w:val="20"/>
                <w:color w:val="auto"/>
              </w:rPr>
            </w:pPr>
            <w:r>
              <w:rPr>
                <w:rFonts w:ascii="Arial" w:cs="Arial" w:eastAsia="Arial" w:hAnsi="Arial"/>
                <w:sz w:val="21"/>
                <w:szCs w:val="21"/>
                <w:color w:val="auto"/>
              </w:rPr>
              <w:t>$</w:t>
            </w:r>
          </w:p>
        </w:tc>
        <w:tc>
          <w:tcPr>
            <w:tcW w:w="1320" w:type="dxa"/>
            <w:vAlign w:val="bottom"/>
            <w:shd w:val="clear" w:color="auto" w:fill="CCEEFF"/>
          </w:tcPr>
          <w:p>
            <w:pPr>
              <w:jc w:val="right"/>
              <w:ind w:right="16"/>
              <w:spacing w:after="0" w:line="237" w:lineRule="exact"/>
              <w:rPr>
                <w:sz w:val="20"/>
                <w:szCs w:val="20"/>
                <w:color w:val="auto"/>
              </w:rPr>
            </w:pPr>
            <w:r>
              <w:rPr>
                <w:rFonts w:ascii="Arial" w:cs="Arial" w:eastAsia="Arial" w:hAnsi="Arial"/>
                <w:sz w:val="21"/>
                <w:szCs w:val="21"/>
                <w:color w:val="auto"/>
              </w:rPr>
              <w:t>1,059</w:t>
            </w:r>
          </w:p>
        </w:tc>
        <w:tc>
          <w:tcPr>
            <w:tcW w:w="6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56"/>
              <w:spacing w:after="0" w:line="237" w:lineRule="exact"/>
              <w:rPr>
                <w:sz w:val="20"/>
                <w:szCs w:val="20"/>
                <w:color w:val="auto"/>
              </w:rPr>
            </w:pPr>
            <w:r>
              <w:rPr>
                <w:rFonts w:ascii="Arial" w:cs="Arial" w:eastAsia="Arial" w:hAnsi="Arial"/>
                <w:sz w:val="21"/>
                <w:szCs w:val="21"/>
                <w:color w:val="auto"/>
              </w:rPr>
              <w:t>$</w:t>
            </w:r>
          </w:p>
        </w:tc>
        <w:tc>
          <w:tcPr>
            <w:tcW w:w="1240" w:type="dxa"/>
            <w:vAlign w:val="bottom"/>
            <w:shd w:val="clear" w:color="auto" w:fill="CCEEFF"/>
          </w:tcPr>
          <w:p>
            <w:pPr>
              <w:jc w:val="right"/>
              <w:spacing w:after="0" w:line="237" w:lineRule="exact"/>
              <w:rPr>
                <w:sz w:val="20"/>
                <w:szCs w:val="20"/>
                <w:color w:val="auto"/>
              </w:rPr>
            </w:pPr>
            <w:r>
              <w:rPr>
                <w:rFonts w:ascii="Arial" w:cs="Arial" w:eastAsia="Arial" w:hAnsi="Arial"/>
                <w:sz w:val="21"/>
                <w:szCs w:val="21"/>
                <w:color w:val="auto"/>
              </w:rPr>
              <w:t>1,059</w:t>
            </w:r>
          </w:p>
        </w:tc>
      </w:tr>
      <w:tr>
        <w:trPr>
          <w:trHeight w:val="243"/>
        </w:trPr>
        <w:tc>
          <w:tcPr>
            <w:tcW w:w="6660" w:type="dxa"/>
            <w:vAlign w:val="bottom"/>
            <w:tcBorders>
              <w:bottom w:val="single" w:sz="8" w:color="CCEEFF"/>
            </w:tcBorders>
          </w:tcPr>
          <w:p>
            <w:pPr>
              <w:spacing w:after="0"/>
              <w:rPr>
                <w:sz w:val="20"/>
                <w:szCs w:val="20"/>
                <w:color w:val="auto"/>
              </w:rPr>
            </w:pPr>
            <w:r>
              <w:rPr>
                <w:rFonts w:ascii="Arial" w:cs="Arial" w:eastAsia="Arial" w:hAnsi="Arial"/>
                <w:sz w:val="21"/>
                <w:szCs w:val="21"/>
                <w:color w:val="auto"/>
              </w:rPr>
              <w:t>Accumulated amortization</w:t>
            </w:r>
          </w:p>
        </w:tc>
        <w:tc>
          <w:tcPr>
            <w:tcW w:w="3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(528)</w:t>
            </w:r>
          </w:p>
        </w:tc>
        <w:tc>
          <w:tcPr>
            <w:tcW w:w="6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(504)</w:t>
            </w:r>
          </w:p>
        </w:tc>
      </w:tr>
      <w:tr>
        <w:trPr>
          <w:trHeight w:val="237"/>
        </w:trPr>
        <w:tc>
          <w:tcPr>
            <w:tcW w:w="66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6"/>
              <w:spacing w:after="0" w:line="237" w:lineRule="exact"/>
              <w:rPr>
                <w:sz w:val="20"/>
                <w:szCs w:val="20"/>
                <w:color w:val="auto"/>
              </w:rPr>
            </w:pPr>
            <w:r>
              <w:rPr>
                <w:rFonts w:ascii="Arial" w:cs="Arial" w:eastAsia="Arial" w:hAnsi="Arial"/>
                <w:sz w:val="21"/>
                <w:szCs w:val="21"/>
                <w:color w:val="auto"/>
              </w:rPr>
              <w:t>531</w:t>
            </w:r>
          </w:p>
        </w:tc>
        <w:tc>
          <w:tcPr>
            <w:tcW w:w="6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line="237" w:lineRule="exact"/>
              <w:rPr>
                <w:sz w:val="20"/>
                <w:szCs w:val="20"/>
                <w:color w:val="auto"/>
              </w:rPr>
            </w:pPr>
            <w:r>
              <w:rPr>
                <w:rFonts w:ascii="Arial" w:cs="Arial" w:eastAsia="Arial" w:hAnsi="Arial"/>
                <w:sz w:val="21"/>
                <w:szCs w:val="21"/>
                <w:color w:val="auto"/>
              </w:rPr>
              <w:t>555</w:t>
            </w:r>
          </w:p>
        </w:tc>
      </w:tr>
      <w:tr>
        <w:trPr>
          <w:trHeight w:val="243"/>
        </w:trPr>
        <w:tc>
          <w:tcPr>
            <w:tcW w:w="6660" w:type="dxa"/>
            <w:vAlign w:val="bottom"/>
            <w:tcBorders>
              <w:bottom w:val="single" w:sz="8" w:color="CCEEFF"/>
            </w:tcBorders>
          </w:tcPr>
          <w:p>
            <w:pPr>
              <w:spacing w:after="0"/>
              <w:rPr>
                <w:sz w:val="20"/>
                <w:szCs w:val="20"/>
                <w:color w:val="auto"/>
              </w:rPr>
            </w:pPr>
            <w:r>
              <w:rPr>
                <w:rFonts w:ascii="Arial" w:cs="Arial" w:eastAsia="Arial" w:hAnsi="Arial"/>
                <w:sz w:val="21"/>
                <w:szCs w:val="21"/>
                <w:color w:val="auto"/>
              </w:rPr>
              <w:t>Non-amortizing intangibles</w:t>
            </w:r>
          </w:p>
        </w:tc>
        <w:tc>
          <w:tcPr>
            <w:tcW w:w="3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6"/>
              <w:spacing w:after="0"/>
              <w:rPr>
                <w:sz w:val="20"/>
                <w:szCs w:val="20"/>
                <w:color w:val="auto"/>
              </w:rPr>
            </w:pPr>
            <w:r>
              <w:rPr>
                <w:rFonts w:ascii="Arial" w:cs="Arial" w:eastAsia="Arial" w:hAnsi="Arial"/>
                <w:sz w:val="21"/>
                <w:szCs w:val="21"/>
                <w:color w:val="auto"/>
              </w:rPr>
              <w:t>50,344</w:t>
            </w:r>
          </w:p>
        </w:tc>
        <w:tc>
          <w:tcPr>
            <w:tcW w:w="6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47,841</w:t>
            </w:r>
          </w:p>
        </w:tc>
      </w:tr>
      <w:tr>
        <w:trPr>
          <w:trHeight w:val="237"/>
        </w:trPr>
        <w:tc>
          <w:tcPr>
            <w:tcW w:w="66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1"/>
                <w:szCs w:val="21"/>
                <w:color w:val="auto"/>
              </w:rPr>
              <w:t>$</w:t>
            </w:r>
          </w:p>
        </w:tc>
        <w:tc>
          <w:tcPr>
            <w:tcW w:w="1320" w:type="dxa"/>
            <w:vAlign w:val="bottom"/>
            <w:tcBorders>
              <w:bottom w:val="single" w:sz="8" w:color="auto"/>
            </w:tcBorders>
            <w:shd w:val="clear" w:color="auto" w:fill="CCEEFF"/>
          </w:tcPr>
          <w:p>
            <w:pPr>
              <w:jc w:val="right"/>
              <w:ind w:right="16"/>
              <w:spacing w:after="0" w:line="237" w:lineRule="exact"/>
              <w:rPr>
                <w:sz w:val="20"/>
                <w:szCs w:val="20"/>
                <w:color w:val="auto"/>
              </w:rPr>
            </w:pPr>
            <w:r>
              <w:rPr>
                <w:rFonts w:ascii="Arial" w:cs="Arial" w:eastAsia="Arial" w:hAnsi="Arial"/>
                <w:sz w:val="21"/>
                <w:szCs w:val="21"/>
                <w:color w:val="auto"/>
              </w:rPr>
              <w:t>50,875</w:t>
            </w:r>
          </w:p>
        </w:tc>
        <w:tc>
          <w:tcPr>
            <w:tcW w:w="6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56"/>
              <w:spacing w:after="0" w:line="237" w:lineRule="exact"/>
              <w:rPr>
                <w:sz w:val="20"/>
                <w:szCs w:val="20"/>
                <w:color w:val="auto"/>
              </w:rPr>
            </w:pPr>
            <w:r>
              <w:rPr>
                <w:rFonts w:ascii="Arial" w:cs="Arial" w:eastAsia="Arial" w:hAnsi="Arial"/>
                <w:sz w:val="21"/>
                <w:szCs w:val="21"/>
                <w:color w:val="auto"/>
              </w:rPr>
              <w:t>$</w:t>
            </w:r>
          </w:p>
        </w:tc>
        <w:tc>
          <w:tcPr>
            <w:tcW w:w="1240" w:type="dxa"/>
            <w:vAlign w:val="bottom"/>
            <w:tcBorders>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1"/>
                <w:szCs w:val="21"/>
                <w:color w:val="auto"/>
              </w:rPr>
              <w:t>48,396</w:t>
            </w:r>
          </w:p>
        </w:tc>
      </w:tr>
      <w:tr>
        <w:trPr>
          <w:trHeight w:val="20"/>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All amortizing intangibles have been assigned an estimated useful life and such intangibles are amortized on a straight-line basis over the number of years that approximate their respective useful lives ranging from one to 25 years (weighted-average life of 20 years). Amortization expense was $0.01 million for both the three-months ended June 30, 2012 and 2011, respectively. Amortization expense was $0.02 million for both the six-months ended June 30, 2012 and 2011, respectively.</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8"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DISTRIBUTION AGREEMENTS</w:t>
      </w:r>
    </w:p>
    <w:p>
      <w:pPr>
        <w:spacing w:after="0" w:line="233" w:lineRule="exact"/>
        <w:rPr>
          <w:sz w:val="20"/>
          <w:szCs w:val="20"/>
          <w:color w:val="auto"/>
        </w:rPr>
      </w:pPr>
    </w:p>
    <w:p>
      <w:pPr>
        <w:ind w:firstLine="648"/>
        <w:spacing w:after="0" w:line="328" w:lineRule="auto"/>
        <w:rPr>
          <w:sz w:val="20"/>
          <w:szCs w:val="20"/>
          <w:color w:val="auto"/>
        </w:rPr>
      </w:pPr>
      <w:r>
        <w:rPr>
          <w:rFonts w:ascii="Arial" w:cs="Arial" w:eastAsia="Arial" w:hAnsi="Arial"/>
          <w:sz w:val="19"/>
          <w:szCs w:val="19"/>
          <w:color w:val="auto"/>
        </w:rPr>
        <w:t>Amounts received pursuant to new and/or amended distribution agreements entered into with certain distributors, relating to the costs associated with terminating agreements with the Company’s prior distributors, have been accounted for as deferred</w:t>
      </w:r>
    </w:p>
    <w:p>
      <w:pPr>
        <w:sectPr>
          <w:pgSz w:w="11900" w:h="16919" w:orient="portrait"/>
          <w:cols w:equalWidth="0" w:num="1">
            <w:col w:w="11420"/>
          </w:cols>
          <w:pgMar w:left="240" w:top="125" w:right="239" w:bottom="0" w:gutter="0" w:footer="0" w:header="0"/>
        </w:sectPr>
      </w:pPr>
    </w:p>
    <w:bookmarkStart w:id="11" w:name="page12"/>
    <w:bookmarkEnd w:id="11"/>
    <w:p>
      <w:pPr>
        <w:spacing w:after="0" w:line="4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revenue in the accompanying condensed consolidated balance sheets and are recognized as revenue ratably over the anticipated life of the respective distribution agreement, generally 20 years. Revenue recognized was $1.9 million and $2.1 million for the three-months ended June 30, 2012 and 2011, respectively. Revenue recognized was $4.4 million and $3.9 million for the six-months ended June 30, 2012 and 2011, respectively.</w:t>
      </w:r>
    </w:p>
    <w:p>
      <w:pPr>
        <w:spacing w:after="0" w:line="213"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COMMITMENTS AND CONTINGENCIES</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Company has purchase commitments aggregating approximately $50.4 million at June 30, 2012, which represent commitments made by the Company and its subsidiaries to various suppliers of raw materials for the production of its products. These obligations vary in terms, but are generally satisfied within one year.</w:t>
      </w:r>
    </w:p>
    <w:p>
      <w:pPr>
        <w:spacing w:after="0" w:line="21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The Company has contractual obligations aggregating approximately $88.8 million at June 30, 2012, which are related primarily to sponsorships and other marketing activities.</w:t>
      </w:r>
    </w:p>
    <w:p>
      <w:pPr>
        <w:spacing w:after="0" w:line="20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The Company has operating lease commitments aggregating approximately $16.6 million at June 30, 2012, which are related primarily to warehouse and office space.</w:t>
      </w:r>
    </w:p>
    <w:p>
      <w:pPr>
        <w:spacing w:after="0" w:line="20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In March 2012, the Company acquired an approximately 75,425 square foot, free standing, three-story office building, including the real property thereunder and improvements thereon, located in Corona, CA for a purchase price of $9.7 million. The Company intends to complete the necessary improvements thereon and occupy the building as the Company’s new corporate headquarters at some time in the future.</w:t>
      </w:r>
    </w:p>
    <w:p>
      <w:pPr>
        <w:spacing w:after="0" w:line="21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i w:val="1"/>
          <w:iCs w:val="1"/>
          <w:color w:val="auto"/>
        </w:rPr>
        <w:t xml:space="preserve">Litigation </w:t>
      </w:r>
      <w:r>
        <w:rPr>
          <w:rFonts w:ascii="Arial" w:cs="Arial" w:eastAsia="Arial" w:hAnsi="Arial"/>
          <w:sz w:val="21"/>
          <w:szCs w:val="21"/>
          <w:color w:val="auto"/>
        </w:rPr>
        <w:t>— In September 2006, Christopher Chavez purporting to act on behalf of himself and a certain class of</w:t>
      </w:r>
      <w:r>
        <w:rPr>
          <w:rFonts w:ascii="Arial" w:cs="Arial" w:eastAsia="Arial" w:hAnsi="Arial"/>
          <w:sz w:val="21"/>
          <w:szCs w:val="21"/>
          <w:i w:val="1"/>
          <w:iCs w:val="1"/>
          <w:color w:val="auto"/>
        </w:rPr>
        <w:t xml:space="preserve"> </w:t>
      </w:r>
      <w:r>
        <w:rPr>
          <w:rFonts w:ascii="Arial" w:cs="Arial" w:eastAsia="Arial" w:hAnsi="Arial"/>
          <w:sz w:val="21"/>
          <w:szCs w:val="21"/>
          <w:color w:val="auto"/>
        </w:rPr>
        <w:t>consumers filed an action in the Superior Court of the State of California, County of San Francisco, against the Company and its subsidiaries for unfair business practices, false advertising, violation of California Consumers Legal Remedies Act (“CLRA”), fraud, deceit and/or misrepresentation alleging that the Company misleadingly labels its Blue Sky® beverages as manufactured and canned/bottled wholly in Santa Fe, New Mexico. Defendants removed this Superior Court action to the United States District Court for the Northern District of California (the “District Court”) under the Class Action Fairness Act and filed motions for dismissal or transfer. On June 11, 2007, the District Court granted the Company’s motion to dismiss Chavez’s complaint with prejudice. On June 23, 2009, the United States Court of Appeals for the Ninth Circuit (“Ninth Circuit”) filed a memorandum opinion reversing the decision of the District Court and remanded the case to the District Court for further proceedings. The Company filed a motion to dismiss the CLRA claims; the plaintiff filed a motion for a decision on a preemption issue; and the plaintiff filed a motion for class certification. On June 18, 2010, the District Court entered an order certifying the class, ruled that there was no preemption by federal law, and denied the Company’s motion to dismiss. The class that the District Court certified initially consists of all persons who purchased any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4"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beverage bearing the Blue Sky mark or brand in the United States at any time between May 16, 2002 and June 30, 2006. On September 9, 2010, the District Court approved the form of the class notice and its distribution plan; and set an opt-out date of December 10, 2010. On January 27, 2012, the parties entered into a settlement agreement on terms acceptable to the Company. On June 1, 2012, the District Court granted final approval of the settlement and entered judgment. On June 26, 2012, an objector to the settlement filed a notice appealing the District Court’s judgment, which is now pending in the Ninth Circuit Court of Appeals. The Company does not believe that the settlement or the pending appeal will have a material adverse effect on the Company’s financial position or results of operations.</w:t>
      </w:r>
    </w:p>
    <w:p>
      <w:pPr>
        <w:spacing w:after="0" w:line="20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In May 2009, Avraham Wellman, purporting to act on behalf of himself and a class of consumers in Canada, filed a putative class action in the Ontario Superior Court of Justice, in the City of Toronto, Ontario, Canada, against the Company and its former Canadian distributor, Pepsi-Cola Canada Ltd., as defendants. The plaintiff alleges that the defendants misleadingly packaged and labeled Monster Energy® products in Canada by not including sufficiently specific statements with respect to contra-indications and/or adverse reactions associated with the consumption of the energy drink products. The plaintiff’s claims against the defendants are for negligence, unjust enrichment, and making misleading/false representations in violation of the Competition Act (Canada), the Food and Drugs Act (Canada) and the Consumer Protection Act, 2002 (Ontario). The plaintiff claims general damages on behalf of the putative class in the amount of CDN$20 million, together with punitive damages of CDN$5 million, plus legal costs and interest. The plaintiff’s certification motion materials have not yet been filed. The Company believes that any such damages, if awarded, would not have a material adverse effect on the Company’s financial position or results of operations. In accordance with class action practices in Ontario, the Company will not file an answer to the complaint until after the determination of the certification motion. The Company believes that the plaintiff’s complaint is without merit and plans a vigorous defense.</w:t>
      </w:r>
    </w:p>
    <w:p>
      <w:pPr>
        <w:spacing w:after="0" w:line="189" w:lineRule="exact"/>
        <w:rPr>
          <w:sz w:val="20"/>
          <w:szCs w:val="20"/>
          <w:color w:val="auto"/>
        </w:rPr>
      </w:pPr>
    </w:p>
    <w:p>
      <w:pPr>
        <w:jc w:val="both"/>
        <w:ind w:right="20" w:firstLine="648"/>
        <w:spacing w:after="0" w:line="328" w:lineRule="auto"/>
        <w:rPr>
          <w:sz w:val="20"/>
          <w:szCs w:val="20"/>
          <w:color w:val="auto"/>
        </w:rPr>
      </w:pPr>
      <w:r>
        <w:rPr>
          <w:rFonts w:ascii="Arial" w:cs="Arial" w:eastAsia="Arial" w:hAnsi="Arial"/>
          <w:sz w:val="19"/>
          <w:szCs w:val="19"/>
          <w:i w:val="1"/>
          <w:iCs w:val="1"/>
          <w:color w:val="auto"/>
        </w:rPr>
        <w:t xml:space="preserve">Securities Litigation </w:t>
      </w:r>
      <w:r>
        <w:rPr>
          <w:rFonts w:ascii="Arial" w:cs="Arial" w:eastAsia="Arial" w:hAnsi="Arial"/>
          <w:sz w:val="19"/>
          <w:szCs w:val="19"/>
          <w:color w:val="auto"/>
        </w:rPr>
        <w:t>— On September 11, 2008, a federal securities class action complaint styled</w:t>
      </w:r>
      <w:r>
        <w:rPr>
          <w:rFonts w:ascii="Arial" w:cs="Arial" w:eastAsia="Arial" w:hAnsi="Arial"/>
          <w:sz w:val="19"/>
          <w:szCs w:val="19"/>
          <w:i w:val="1"/>
          <w:iCs w:val="1"/>
          <w:color w:val="auto"/>
        </w:rPr>
        <w:t xml:space="preserve"> Cunha v. Hansen Natural Corp., et al. </w:t>
      </w:r>
      <w:r>
        <w:rPr>
          <w:rFonts w:ascii="Arial" w:cs="Arial" w:eastAsia="Arial" w:hAnsi="Arial"/>
          <w:sz w:val="19"/>
          <w:szCs w:val="19"/>
          <w:color w:val="auto"/>
        </w:rPr>
        <w:t>was filed in the United States District Court for the Central District of California (the “District Court”). On</w:t>
      </w:r>
    </w:p>
    <w:p>
      <w:pPr>
        <w:sectPr>
          <w:pgSz w:w="11900" w:h="16879" w:orient="portrait"/>
          <w:cols w:equalWidth="0" w:num="1">
            <w:col w:w="11420"/>
          </w:cols>
          <w:pgMar w:left="240" w:top="118" w:right="239" w:bottom="0" w:gutter="0" w:footer="0" w:header="0"/>
        </w:sectPr>
      </w:pPr>
    </w:p>
    <w:bookmarkStart w:id="12" w:name="page13"/>
    <w:bookmarkEnd w:id="12"/>
    <w:p>
      <w:pPr>
        <w:jc w:val="both"/>
        <w:spacing w:after="0" w:line="251" w:lineRule="auto"/>
        <w:rPr>
          <w:sz w:val="20"/>
          <w:szCs w:val="20"/>
          <w:color w:val="auto"/>
        </w:rPr>
      </w:pPr>
      <w:r>
        <w:rPr>
          <w:rFonts w:ascii="Arial" w:cs="Arial" w:eastAsia="Arial" w:hAnsi="Arial"/>
          <w:sz w:val="22"/>
          <w:szCs w:val="22"/>
          <w:color w:val="auto"/>
        </w:rPr>
        <w:t xml:space="preserve">September 17, 2008, a second federal securities class action complaint styled </w:t>
      </w:r>
      <w:r>
        <w:rPr>
          <w:rFonts w:ascii="Arial" w:cs="Arial" w:eastAsia="Arial" w:hAnsi="Arial"/>
          <w:sz w:val="22"/>
          <w:szCs w:val="22"/>
          <w:i w:val="1"/>
          <w:iCs w:val="1"/>
          <w:color w:val="auto"/>
        </w:rPr>
        <w:t>Brown v. Hansen Natural Corp., et al.</w:t>
      </w:r>
      <w:r>
        <w:rPr>
          <w:rFonts w:ascii="Arial" w:cs="Arial" w:eastAsia="Arial" w:hAnsi="Arial"/>
          <w:sz w:val="22"/>
          <w:szCs w:val="22"/>
          <w:color w:val="auto"/>
        </w:rPr>
        <w:t xml:space="preserve"> was also filed in the District Court.</w:t>
      </w:r>
    </w:p>
    <w:p>
      <w:pPr>
        <w:spacing w:after="0" w:line="20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On July 14, 2009, the District Court entered an order consolidating the actions and appointing lead counsel and the Structural Ironworkers Local Union #1 Pension Fund as lead plaintiff. On August 28, 2009, lead plaintiff filed a Consolidated Complaint for Violations of Federal Securities Laws (the “Consolidated Class Action Complaint”). The Consolidated Class Action Complaint purported to be brought on behalf of a class of purchasers of the Company’s stock during the period November 9, 2006 through November 8, 2007 (the “Class Period”). It named as defendants the Company, Rodney C. Sacks, Hilton H. Schlosberg, and Thomas J. Kelly. Plaintiff principally alleged that, during the Class Period, the defendants made false and misleading statements relating to the Company’s distribution coordination agreements with Anheuser-Busch, Inc. (“AB”) and its sales of “Allied” energy drink lines, and engaged in sales of shares in the Company on the basis of material non-public information. Plaintiff also alleged that the Company’s financial statements for the second quarter of 2007 did not include certain promotional expenses. The Consolidated Class Action Complaint alleged violations of Sections 10(b) and 20(a) of the Securities Exchange Act of 1934, as amended (the “Exchange Act”) and Rule 10b-5 promulgated thereunder, and sought an unspecified amount of damages.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On November 16, 2009, the defendants filed their motion to dismiss the Consolidated Class Action Complaint pursuant to Federal Rules of Civil Procedure 12(b)(6) and 9(b), as well as the Private Securities Litigation Reform Act. On July 12, 2010, following a hearing, the District Court granted the defendants’ motion to dismiss the Consolidated Class Action Complaint, with leave to amend, on the grounds, among others, that it failed to specify which statements plaintiff claimed were false or misleading, failed adequately to allege that certain statements were actionable or false or misleading, and failed adequately to demonstrate that defendants acted with scienter.</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On August 27, 2010, plaintiff filed a Consolidated Amended Class Action Complaint for Violations of Federal Securities Laws (the “Amended Class Action Complaint”). While similar in many respects to the Consolidated Class Action Complaint, the Amended Class Action Complaint drops certain of the allegations set forth in the Consolidated Class Action Complaint and makes certain new allegations, including that the Company engaged in “channel stuffing” during the Class Period that rendered false or misleading the Company’s reported sales results and certain other statements made by the defendants. In addition, it no longer names Thomas J. Kelly as a defendant. The Amended Class Action Complaint continues to allege violations of Sections 10(b) and 20(a) of the Exchange Act and Rule 10b-5 promulgated thereunder, and seeks an unspecified amount of damages.</w:t>
      </w:r>
    </w:p>
    <w:p>
      <w:pPr>
        <w:spacing w:after="0" w:line="180"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Defendants filed a motion to dismiss the Amended Class Action Complaint on November 8, 2010. At a hearing on defendants’ motion to dismiss the Amended Class Action Complaint held on May 12, 2011, the District Court issued a tentative ruling that would grant the motion to dismiss as to certain of plaintiff’s claims, but would deny the motion to dismiss with regard to the majority of plaintiff’s claims. The District Court has not, however, issued a final ruling. The District Court held an additional hearing on the motion to dismiss on May 25, 2011, and has received supplemental submissions from the parties. Defendants’ motion to dismiss remains sub judice.</w:t>
      </w:r>
    </w:p>
    <w:p>
      <w:pPr>
        <w:spacing w:after="0" w:line="21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Amended Class Action Complaint seeks an unspecified amount of damages. As a result, the amount or range of reasonably possible litigation losses to which the Company is exposed cannot be estimated. Although the ultimate outcome of this action cannot be determined with certainty, the Company believes that the allegations in the Amended Class Action Complaint are without merit. The Company intends to vigorously defend against this lawsuit.</w:t>
      </w:r>
    </w:p>
    <w:p>
      <w:pPr>
        <w:spacing w:after="0" w:line="21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i w:val="1"/>
          <w:iCs w:val="1"/>
          <w:color w:val="auto"/>
        </w:rPr>
        <w:t xml:space="preserve">State Attorney General Inquiry </w:t>
      </w:r>
      <w:r>
        <w:rPr>
          <w:rFonts w:ascii="Arial" w:cs="Arial" w:eastAsia="Arial" w:hAnsi="Arial"/>
          <w:sz w:val="19"/>
          <w:szCs w:val="19"/>
          <w:color w:val="auto"/>
        </w:rPr>
        <w:t>— In July 2012, the Company received a subpoena from a state attorney general in</w:t>
      </w:r>
      <w:r>
        <w:rPr>
          <w:rFonts w:ascii="Arial" w:cs="Arial" w:eastAsia="Arial" w:hAnsi="Arial"/>
          <w:sz w:val="19"/>
          <w:szCs w:val="19"/>
          <w:i w:val="1"/>
          <w:iCs w:val="1"/>
          <w:color w:val="auto"/>
        </w:rPr>
        <w:t xml:space="preserve"> </w:t>
      </w:r>
      <w:r>
        <w:rPr>
          <w:rFonts w:ascii="Arial" w:cs="Arial" w:eastAsia="Arial" w:hAnsi="Arial"/>
          <w:sz w:val="19"/>
          <w:szCs w:val="19"/>
          <w:color w:val="auto"/>
        </w:rPr>
        <w:t>connection with an investigation concerning the Company’s advertising, marketing, promotion, ingredients, usage and sale of its Monster Energy® brand of energy drinks. As the investigation is in an early stage, it is unknown what, if any, action the state attorney general may take against the Company, the relief which may be sought in the event of any such proceeding or whether such proceeding could have a material adverse effect on the Company’s business, financial condition or results of operations.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8" w:lineRule="exact"/>
        <w:rPr>
          <w:sz w:val="20"/>
          <w:szCs w:val="20"/>
          <w:color w:val="auto"/>
        </w:rPr>
      </w:pPr>
    </w:p>
    <w:p>
      <w:pPr>
        <w:ind w:firstLine="720"/>
        <w:spacing w:after="0" w:line="328" w:lineRule="auto"/>
        <w:rPr>
          <w:sz w:val="20"/>
          <w:szCs w:val="20"/>
          <w:color w:val="auto"/>
        </w:rPr>
      </w:pPr>
      <w:r>
        <w:rPr>
          <w:rFonts w:ascii="Arial" w:cs="Arial" w:eastAsia="Arial" w:hAnsi="Arial"/>
          <w:sz w:val="19"/>
          <w:szCs w:val="19"/>
          <w:color w:val="auto"/>
        </w:rPr>
        <w:t>In addition to the above matters, the Company is subject to litigation from time to time in the normal course of business, including claims from terminated distributors. Although it is not possible to predict the outcome of such litigation, based on the</w:t>
      </w:r>
    </w:p>
    <w:p>
      <w:pPr>
        <w:sectPr>
          <w:pgSz w:w="11900" w:h="16838" w:orient="portrait"/>
          <w:cols w:equalWidth="0" w:num="1">
            <w:col w:w="11420"/>
          </w:cols>
          <w:pgMar w:left="240" w:top="118" w:right="239" w:bottom="0" w:gutter="0" w:footer="0" w:header="0"/>
        </w:sectPr>
      </w:pPr>
    </w:p>
    <w:bookmarkStart w:id="13" w:name="page14"/>
    <w:bookmarkEnd w:id="13"/>
    <w:p>
      <w:pPr>
        <w:ind w:right="20"/>
        <w:spacing w:after="0" w:line="251" w:lineRule="auto"/>
        <w:rPr>
          <w:sz w:val="20"/>
          <w:szCs w:val="20"/>
          <w:color w:val="auto"/>
        </w:rPr>
      </w:pPr>
      <w:r>
        <w:rPr>
          <w:rFonts w:ascii="Arial" w:cs="Arial" w:eastAsia="Arial" w:hAnsi="Arial"/>
          <w:sz w:val="22"/>
          <w:szCs w:val="22"/>
          <w:color w:val="auto"/>
        </w:rPr>
        <w:t>facts known to the Company and after consultation with counsel, management believes that such litigation in the aggregate will likely not have a material adverse effect on the Company’s financial position or results of operations.</w:t>
      </w:r>
    </w:p>
    <w:p>
      <w:pPr>
        <w:spacing w:after="0" w:line="201"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22"/>
          <w:szCs w:val="22"/>
          <w:color w:val="auto"/>
        </w:rPr>
      </w:pPr>
      <w:r>
        <w:rPr>
          <w:rFonts w:ascii="Arial" w:cs="Arial" w:eastAsia="Arial" w:hAnsi="Arial"/>
          <w:sz w:val="22"/>
          <w:szCs w:val="22"/>
          <w:color w:val="auto"/>
        </w:rPr>
        <w:t>ACCUMULATED OTHER COMPREHENSIVE LOSS</w:t>
      </w:r>
    </w:p>
    <w:p>
      <w:pPr>
        <w:spacing w:after="0" w:line="233"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The components of accumulated other comprehensive loss are as follows:</w:t>
      </w:r>
    </w:p>
    <w:p>
      <w:pPr>
        <w:spacing w:after="0" w:line="241" w:lineRule="exact"/>
        <w:rPr>
          <w:sz w:val="20"/>
          <w:szCs w:val="20"/>
          <w:color w:val="auto"/>
        </w:rPr>
      </w:pPr>
    </w:p>
    <w:tbl>
      <w:tblPr>
        <w:tblLayout w:type="fixed"/>
        <w:tblInd w:w="660" w:type="dxa"/>
        <w:tblCellMar>
          <w:top w:w="0" w:type="dxa"/>
          <w:left w:w="0" w:type="dxa"/>
          <w:bottom w:w="0" w:type="dxa"/>
          <w:right w:w="0" w:type="dxa"/>
        </w:tblCellMar>
      </w:tblPr>
      <w:tr>
        <w:trPr>
          <w:trHeight w:val="256"/>
        </w:trPr>
        <w:tc>
          <w:tcPr>
            <w:tcW w:w="59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120" w:type="dxa"/>
            <w:vAlign w:val="bottom"/>
            <w:gridSpan w:val="2"/>
          </w:tcPr>
          <w:p>
            <w:pPr>
              <w:ind w:left="140"/>
              <w:spacing w:after="0"/>
              <w:rPr>
                <w:sz w:val="20"/>
                <w:szCs w:val="20"/>
                <w:color w:val="auto"/>
              </w:rPr>
            </w:pPr>
            <w:r>
              <w:rPr>
                <w:rFonts w:ascii="Arial" w:cs="Arial" w:eastAsia="Arial" w:hAnsi="Arial"/>
                <w:sz w:val="21"/>
                <w:szCs w:val="21"/>
                <w:color w:val="auto"/>
              </w:rPr>
              <w:t>June 30, 2012</w:t>
            </w:r>
          </w:p>
        </w:tc>
        <w:tc>
          <w:tcPr>
            <w:tcW w:w="260" w:type="dxa"/>
            <w:vAlign w:val="bottom"/>
          </w:tcPr>
          <w:p>
            <w:pPr>
              <w:spacing w:after="0"/>
              <w:rPr>
                <w:sz w:val="22"/>
                <w:szCs w:val="22"/>
                <w:color w:val="auto"/>
              </w:rPr>
            </w:pPr>
          </w:p>
        </w:tc>
        <w:tc>
          <w:tcPr>
            <w:tcW w:w="1940" w:type="dxa"/>
            <w:vAlign w:val="bottom"/>
          </w:tcPr>
          <w:p>
            <w:pPr>
              <w:jc w:val="right"/>
              <w:ind w:right="196"/>
              <w:spacing w:after="0"/>
              <w:rPr>
                <w:sz w:val="20"/>
                <w:szCs w:val="20"/>
                <w:color w:val="auto"/>
              </w:rPr>
            </w:pPr>
            <w:r>
              <w:rPr>
                <w:rFonts w:ascii="Arial" w:cs="Arial" w:eastAsia="Arial" w:hAnsi="Arial"/>
                <w:sz w:val="21"/>
                <w:szCs w:val="21"/>
                <w:color w:val="auto"/>
                <w:w w:val="87"/>
              </w:rPr>
              <w:t>December 31, 2011</w:t>
            </w:r>
          </w:p>
        </w:tc>
      </w:tr>
      <w:tr>
        <w:trPr>
          <w:trHeight w:val="237"/>
        </w:trPr>
        <w:tc>
          <w:tcPr>
            <w:tcW w:w="5920" w:type="dxa"/>
            <w:vAlign w:val="bottom"/>
            <w:tcBorders>
              <w:top w:val="single" w:sz="8" w:color="CCEEFF"/>
            </w:tcBorders>
            <w:shd w:val="clear" w:color="auto" w:fill="CCEEFF"/>
          </w:tcPr>
          <w:p>
            <w:pPr>
              <w:spacing w:after="0" w:line="237" w:lineRule="exact"/>
              <w:rPr>
                <w:sz w:val="20"/>
                <w:szCs w:val="20"/>
                <w:color w:val="auto"/>
              </w:rPr>
            </w:pPr>
            <w:r>
              <w:rPr>
                <w:rFonts w:ascii="Arial" w:cs="Arial" w:eastAsia="Arial" w:hAnsi="Arial"/>
                <w:sz w:val="21"/>
                <w:szCs w:val="21"/>
                <w:color w:val="auto"/>
              </w:rPr>
              <w:t>Foreign currency translation adjustments</w:t>
            </w:r>
          </w:p>
        </w:tc>
        <w:tc>
          <w:tcPr>
            <w:tcW w:w="400" w:type="dxa"/>
            <w:vAlign w:val="bottom"/>
            <w:tcBorders>
              <w:top w:val="single" w:sz="8" w:color="auto"/>
              <w:bottom w:val="single" w:sz="8" w:color="auto"/>
            </w:tcBorders>
            <w:shd w:val="clear" w:color="auto" w:fill="CCEEFF"/>
          </w:tcPr>
          <w:p>
            <w:pPr>
              <w:jc w:val="right"/>
              <w:ind w:right="56"/>
              <w:spacing w:after="0" w:line="237" w:lineRule="exact"/>
              <w:rPr>
                <w:sz w:val="20"/>
                <w:szCs w:val="20"/>
                <w:color w:val="auto"/>
              </w:rPr>
            </w:pPr>
            <w:r>
              <w:rPr>
                <w:rFonts w:ascii="Arial" w:cs="Arial" w:eastAsia="Arial" w:hAnsi="Arial"/>
                <w:sz w:val="21"/>
                <w:szCs w:val="21"/>
                <w:color w:val="auto"/>
              </w:rPr>
              <w:t>$</w:t>
            </w:r>
          </w:p>
        </w:tc>
        <w:tc>
          <w:tcPr>
            <w:tcW w:w="1840" w:type="dxa"/>
            <w:vAlign w:val="bottom"/>
            <w:tcBorders>
              <w:top w:val="single" w:sz="8" w:color="auto"/>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1"/>
                <w:szCs w:val="21"/>
                <w:color w:val="auto"/>
              </w:rPr>
              <w:t>(1,820)</w:t>
            </w:r>
          </w:p>
        </w:tc>
        <w:tc>
          <w:tcPr>
            <w:tcW w:w="2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1"/>
                <w:szCs w:val="21"/>
                <w:color w:val="auto"/>
              </w:rPr>
              <w:t>$</w:t>
            </w:r>
          </w:p>
        </w:tc>
        <w:tc>
          <w:tcPr>
            <w:tcW w:w="1940" w:type="dxa"/>
            <w:vAlign w:val="bottom"/>
            <w:tcBorders>
              <w:top w:val="single" w:sz="8" w:color="auto"/>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1"/>
                <w:szCs w:val="21"/>
                <w:color w:val="auto"/>
              </w:rPr>
              <w:t>(1,547)</w:t>
            </w:r>
          </w:p>
        </w:tc>
      </w:tr>
      <w:tr>
        <w:trPr>
          <w:trHeight w:val="237"/>
        </w:trPr>
        <w:tc>
          <w:tcPr>
            <w:tcW w:w="5920" w:type="dxa"/>
            <w:vAlign w:val="bottom"/>
          </w:tcPr>
          <w:p>
            <w:pPr>
              <w:spacing w:after="0" w:line="237" w:lineRule="exact"/>
              <w:rPr>
                <w:sz w:val="20"/>
                <w:szCs w:val="20"/>
                <w:color w:val="auto"/>
              </w:rPr>
            </w:pPr>
            <w:r>
              <w:rPr>
                <w:rFonts w:ascii="Arial" w:cs="Arial" w:eastAsia="Arial" w:hAnsi="Arial"/>
                <w:sz w:val="21"/>
                <w:szCs w:val="21"/>
                <w:color w:val="auto"/>
              </w:rPr>
              <w:t>Total accumulated other comprehensive loss</w:t>
            </w:r>
          </w:p>
        </w:tc>
        <w:tc>
          <w:tcPr>
            <w:tcW w:w="400" w:type="dxa"/>
            <w:vAlign w:val="bottom"/>
            <w:tcBorders>
              <w:bottom w:val="single" w:sz="8" w:color="auto"/>
            </w:tcBorders>
          </w:tcPr>
          <w:p>
            <w:pPr>
              <w:jc w:val="right"/>
              <w:ind w:right="56"/>
              <w:spacing w:after="0" w:line="237" w:lineRule="exact"/>
              <w:rPr>
                <w:sz w:val="20"/>
                <w:szCs w:val="20"/>
                <w:color w:val="auto"/>
              </w:rPr>
            </w:pPr>
            <w:r>
              <w:rPr>
                <w:rFonts w:ascii="Arial" w:cs="Arial" w:eastAsia="Arial" w:hAnsi="Arial"/>
                <w:sz w:val="21"/>
                <w:szCs w:val="21"/>
                <w:color w:val="auto"/>
              </w:rPr>
              <w:t>$</w:t>
            </w:r>
          </w:p>
        </w:tc>
        <w:tc>
          <w:tcPr>
            <w:tcW w:w="184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(1,820)</w:t>
            </w:r>
          </w:p>
        </w:tc>
        <w:tc>
          <w:tcPr>
            <w:tcW w:w="280" w:type="dxa"/>
            <w:vAlign w:val="bottom"/>
          </w:tcPr>
          <w:p>
            <w:pPr>
              <w:spacing w:after="0"/>
              <w:rPr>
                <w:sz w:val="20"/>
                <w:szCs w:val="20"/>
                <w:color w:val="auto"/>
              </w:rPr>
            </w:pPr>
          </w:p>
        </w:tc>
        <w:tc>
          <w:tcPr>
            <w:tcW w:w="2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w:t>
            </w:r>
          </w:p>
        </w:tc>
        <w:tc>
          <w:tcPr>
            <w:tcW w:w="194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(1,547)</w:t>
            </w:r>
          </w:p>
        </w:tc>
      </w:tr>
      <w:tr>
        <w:trPr>
          <w:trHeight w:val="20"/>
        </w:trPr>
        <w:tc>
          <w:tcPr>
            <w:tcW w:w="59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ind w:left="640" w:hanging="632"/>
        <w:spacing w:after="0"/>
        <w:tabs>
          <w:tab w:leader="none" w:pos="640" w:val="left"/>
        </w:tabs>
        <w:numPr>
          <w:ilvl w:val="0"/>
          <w:numId w:val="14"/>
        </w:numPr>
        <w:rPr>
          <w:rFonts w:ascii="Arial" w:cs="Arial" w:eastAsia="Arial" w:hAnsi="Arial"/>
          <w:sz w:val="22"/>
          <w:szCs w:val="22"/>
          <w:color w:val="auto"/>
        </w:rPr>
      </w:pPr>
      <w:r>
        <w:rPr>
          <w:rFonts w:ascii="Arial" w:cs="Arial" w:eastAsia="Arial" w:hAnsi="Arial"/>
          <w:sz w:val="22"/>
          <w:szCs w:val="22"/>
          <w:color w:val="auto"/>
        </w:rPr>
        <w:t>TREASURY STOCK PURCHASE</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On October 12, 2011, the Company’s Board of Directors authorized a new share repurchase program for the repurchase of up to $250.0 million of the Company’s outstanding common stock (the “2011 Repurchase Plan”). No shares have been repurchased under the 2011 Repurchase Plan as of June 30, 2012.</w:t>
      </w:r>
    </w:p>
    <w:p>
      <w:pPr>
        <w:spacing w:after="0" w:line="21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On March 11, 2010, the Company’s Board of Directors authorized the repurchase of up to $200.0 million of the Company’s common stock (the “2010 Repurchase Plan”). During the year ended December 31, 2011, the Company purchased 5.0 million shares of common stock at an average purchase price of $35.63 per share for a total amount of $176.4 million, which the Company holds in treasury. This repurchase, coupled with the repurchases during the year ended December 31, 2010, exhausted the availability under the 2010 Repurchase Plan.</w:t>
      </w:r>
    </w:p>
    <w:p>
      <w:pPr>
        <w:spacing w:after="0" w:line="215"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22"/>
          <w:szCs w:val="22"/>
          <w:color w:val="auto"/>
        </w:rPr>
      </w:pPr>
      <w:r>
        <w:rPr>
          <w:rFonts w:ascii="Arial" w:cs="Arial" w:eastAsia="Arial" w:hAnsi="Arial"/>
          <w:sz w:val="22"/>
          <w:szCs w:val="22"/>
          <w:color w:val="auto"/>
        </w:rPr>
        <w:t>STOCK-BASED COMPENSATION</w:t>
      </w:r>
    </w:p>
    <w:p>
      <w:pPr>
        <w:spacing w:after="0" w:line="23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The Company has two stock-based compensation plans under which shares were available for grant at June 30, 2012: the Monster Beverage Corporation 2011 Omnibus Incentive Plan (the “2011 Omnibus Incentive Plan”) and the 2009 Monster Beverage Corporation Stock Incentive Plan for Non-Employee Directors (the “2009 Directors Plan”).</w:t>
      </w:r>
    </w:p>
    <w:p>
      <w:pPr>
        <w:spacing w:after="0" w:line="19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The Company recorded $7.1 million and $4.1 million of compensation expense relating to outstanding options, restricted stock awards, stock appreciation rights and restricted stock units during the three-months ended June 30, 2012 and 2011, respectively. The Company recorded $13.6 million and $7.9 million of compensation expense relating to outstanding options, restricted stock awards, stock appreciation rights and restricted stock units during the six-months ended June 30, 2012 and 2011, respectively.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Stock Options</w:t>
      </w:r>
    </w:p>
    <w:p>
      <w:pPr>
        <w:spacing w:after="0" w:line="23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Under the Company’s stock-based compensation plans, all stock options granted as of June 30, 2012 were granted at prices based on the fair value of the Company’s common stock on the date of grant. The Company records compensation expense for employee stock options based on the estimated fair value of the options on the date of grant using the Black-Scholes-Merton option pricing formula with the assumptions included in the table below. The Company records compensation expense for non-employee stock options based on the estimated fair value of the options as of the earlier of (1) the date at which a commitment for performance by the non-employee to earn the stock option is reached or (2) the date at which the non-employee’s performance is complete, using the Black-Scholes-Merton option pricing formula with the assumptions included in the table below. The Company uses historical data to determine the exercise behavior, volatility and forfeiture rate of the options.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weighted-average assumptions were used to estimate the fair value of options granted during:</w:t>
      </w:r>
    </w:p>
    <w:p>
      <w:pPr>
        <w:spacing w:after="0" w:line="238" w:lineRule="exact"/>
        <w:rPr>
          <w:sz w:val="20"/>
          <w:szCs w:val="20"/>
          <w:color w:val="auto"/>
        </w:rPr>
      </w:pPr>
    </w:p>
    <w:tbl>
      <w:tblPr>
        <w:tblLayout w:type="fixed"/>
        <w:tblInd w:w="840" w:type="dxa"/>
        <w:tblCellMar>
          <w:top w:w="0" w:type="dxa"/>
          <w:left w:w="0" w:type="dxa"/>
          <w:bottom w:w="0" w:type="dxa"/>
          <w:right w:w="0" w:type="dxa"/>
        </w:tblCellMar>
      </w:tblPr>
      <w:tr>
        <w:trPr>
          <w:trHeight w:val="246"/>
        </w:trPr>
        <w:tc>
          <w:tcPr>
            <w:tcW w:w="2900" w:type="dxa"/>
            <w:vAlign w:val="bottom"/>
          </w:tcPr>
          <w:p>
            <w:pPr>
              <w:spacing w:after="0"/>
              <w:rPr>
                <w:sz w:val="21"/>
                <w:szCs w:val="21"/>
                <w:color w:val="auto"/>
              </w:rPr>
            </w:pPr>
          </w:p>
        </w:tc>
        <w:tc>
          <w:tcPr>
            <w:tcW w:w="3920" w:type="dxa"/>
            <w:vAlign w:val="bottom"/>
            <w:gridSpan w:val="4"/>
          </w:tcPr>
          <w:p>
            <w:pPr>
              <w:ind w:left="620"/>
              <w:spacing w:after="0"/>
              <w:rPr>
                <w:sz w:val="20"/>
                <w:szCs w:val="20"/>
                <w:color w:val="auto"/>
              </w:rPr>
            </w:pPr>
            <w:r>
              <w:rPr>
                <w:rFonts w:ascii="Arial" w:cs="Arial" w:eastAsia="Arial" w:hAnsi="Arial"/>
                <w:sz w:val="20"/>
                <w:szCs w:val="20"/>
                <w:color w:val="auto"/>
              </w:rPr>
              <w:t>Three-Months Ended June 30,</w:t>
            </w:r>
          </w:p>
        </w:tc>
        <w:tc>
          <w:tcPr>
            <w:tcW w:w="3600" w:type="dxa"/>
            <w:vAlign w:val="bottom"/>
            <w:gridSpan w:val="3"/>
          </w:tcPr>
          <w:p>
            <w:pPr>
              <w:jc w:val="right"/>
              <w:ind w:right="601"/>
              <w:spacing w:after="0"/>
              <w:rPr>
                <w:sz w:val="20"/>
                <w:szCs w:val="20"/>
                <w:color w:val="auto"/>
              </w:rPr>
            </w:pPr>
            <w:r>
              <w:rPr>
                <w:rFonts w:ascii="Arial" w:cs="Arial" w:eastAsia="Arial" w:hAnsi="Arial"/>
                <w:sz w:val="20"/>
                <w:szCs w:val="20"/>
                <w:color w:val="auto"/>
              </w:rPr>
              <w:t>Six-Months Ended June 30,</w:t>
            </w:r>
          </w:p>
        </w:tc>
      </w:tr>
      <w:tr>
        <w:trPr>
          <w:trHeight w:val="223"/>
        </w:trPr>
        <w:tc>
          <w:tcPr>
            <w:tcW w:w="2900" w:type="dxa"/>
            <w:vAlign w:val="bottom"/>
            <w:tcBorders>
              <w:bottom w:val="single" w:sz="8" w:color="CCEEFF"/>
            </w:tcBorders>
          </w:tcPr>
          <w:p>
            <w:pPr>
              <w:spacing w:after="0"/>
              <w:rPr>
                <w:sz w:val="19"/>
                <w:szCs w:val="19"/>
                <w:color w:val="auto"/>
              </w:rPr>
            </w:pPr>
          </w:p>
        </w:tc>
        <w:tc>
          <w:tcPr>
            <w:tcW w:w="1680" w:type="dxa"/>
            <w:vAlign w:val="bottom"/>
            <w:tcBorders>
              <w:top w:val="single" w:sz="8" w:color="auto"/>
              <w:bottom w:val="single" w:sz="8" w:color="auto"/>
            </w:tcBorders>
          </w:tcPr>
          <w:p>
            <w:pPr>
              <w:jc w:val="right"/>
              <w:ind w:right="541"/>
              <w:spacing w:after="0" w:line="223" w:lineRule="exact"/>
              <w:rPr>
                <w:sz w:val="20"/>
                <w:szCs w:val="20"/>
                <w:color w:val="auto"/>
              </w:rPr>
            </w:pPr>
            <w:r>
              <w:rPr>
                <w:rFonts w:ascii="Arial" w:cs="Arial" w:eastAsia="Arial" w:hAnsi="Arial"/>
                <w:sz w:val="20"/>
                <w:szCs w:val="20"/>
                <w:color w:val="auto"/>
              </w:rPr>
              <w:t>2012</w:t>
            </w:r>
          </w:p>
        </w:tc>
        <w:tc>
          <w:tcPr>
            <w:tcW w:w="280" w:type="dxa"/>
            <w:vAlign w:val="bottom"/>
            <w:tcBorders>
              <w:top w:val="single" w:sz="8" w:color="auto"/>
              <w:bottom w:val="single" w:sz="8" w:color="CCEEFF"/>
            </w:tcBorders>
          </w:tcPr>
          <w:p>
            <w:pPr>
              <w:spacing w:after="0"/>
              <w:rPr>
                <w:sz w:val="19"/>
                <w:szCs w:val="19"/>
                <w:color w:val="auto"/>
              </w:rPr>
            </w:pPr>
          </w:p>
        </w:tc>
        <w:tc>
          <w:tcPr>
            <w:tcW w:w="1660" w:type="dxa"/>
            <w:vAlign w:val="bottom"/>
            <w:tcBorders>
              <w:top w:val="single" w:sz="8" w:color="auto"/>
              <w:bottom w:val="single" w:sz="8" w:color="auto"/>
            </w:tcBorders>
          </w:tcPr>
          <w:p>
            <w:pPr>
              <w:jc w:val="right"/>
              <w:ind w:right="521"/>
              <w:spacing w:after="0" w:line="223" w:lineRule="exact"/>
              <w:rPr>
                <w:sz w:val="20"/>
                <w:szCs w:val="20"/>
                <w:color w:val="auto"/>
              </w:rPr>
            </w:pPr>
            <w:r>
              <w:rPr>
                <w:rFonts w:ascii="Arial" w:cs="Arial" w:eastAsia="Arial" w:hAnsi="Arial"/>
                <w:sz w:val="20"/>
                <w:szCs w:val="20"/>
                <w:color w:val="auto"/>
              </w:rPr>
              <w:t>2011</w:t>
            </w:r>
          </w:p>
        </w:tc>
        <w:tc>
          <w:tcPr>
            <w:tcW w:w="300" w:type="dxa"/>
            <w:vAlign w:val="bottom"/>
            <w:tcBorders>
              <w:bottom w:val="single" w:sz="8" w:color="CCEEFF"/>
            </w:tcBorders>
          </w:tcPr>
          <w:p>
            <w:pPr>
              <w:spacing w:after="0"/>
              <w:rPr>
                <w:sz w:val="19"/>
                <w:szCs w:val="19"/>
                <w:color w:val="auto"/>
              </w:rPr>
            </w:pPr>
          </w:p>
        </w:tc>
        <w:tc>
          <w:tcPr>
            <w:tcW w:w="1660" w:type="dxa"/>
            <w:vAlign w:val="bottom"/>
            <w:tcBorders>
              <w:top w:val="single" w:sz="8" w:color="auto"/>
              <w:bottom w:val="single" w:sz="8" w:color="auto"/>
            </w:tcBorders>
          </w:tcPr>
          <w:p>
            <w:pPr>
              <w:jc w:val="right"/>
              <w:ind w:right="541"/>
              <w:spacing w:after="0" w:line="223" w:lineRule="exact"/>
              <w:rPr>
                <w:sz w:val="20"/>
                <w:szCs w:val="20"/>
                <w:color w:val="auto"/>
              </w:rPr>
            </w:pPr>
            <w:r>
              <w:rPr>
                <w:rFonts w:ascii="Arial" w:cs="Arial" w:eastAsia="Arial" w:hAnsi="Arial"/>
                <w:sz w:val="20"/>
                <w:szCs w:val="20"/>
                <w:color w:val="auto"/>
              </w:rPr>
              <w:t>2012</w:t>
            </w:r>
          </w:p>
        </w:tc>
        <w:tc>
          <w:tcPr>
            <w:tcW w:w="280" w:type="dxa"/>
            <w:vAlign w:val="bottom"/>
            <w:tcBorders>
              <w:top w:val="single" w:sz="8" w:color="auto"/>
              <w:bottom w:val="single" w:sz="8" w:color="CCEEFF"/>
            </w:tcBorders>
          </w:tcPr>
          <w:p>
            <w:pPr>
              <w:spacing w:after="0"/>
              <w:rPr>
                <w:sz w:val="19"/>
                <w:szCs w:val="19"/>
                <w:color w:val="auto"/>
              </w:rPr>
            </w:pPr>
          </w:p>
        </w:tc>
        <w:tc>
          <w:tcPr>
            <w:tcW w:w="1660" w:type="dxa"/>
            <w:vAlign w:val="bottom"/>
            <w:tcBorders>
              <w:top w:val="single" w:sz="8" w:color="auto"/>
              <w:bottom w:val="single" w:sz="8" w:color="auto"/>
            </w:tcBorders>
          </w:tcPr>
          <w:p>
            <w:pPr>
              <w:jc w:val="right"/>
              <w:ind w:right="541"/>
              <w:spacing w:after="0" w:line="223" w:lineRule="exact"/>
              <w:rPr>
                <w:sz w:val="20"/>
                <w:szCs w:val="20"/>
                <w:color w:val="auto"/>
              </w:rPr>
            </w:pPr>
            <w:r>
              <w:rPr>
                <w:rFonts w:ascii="Arial" w:cs="Arial" w:eastAsia="Arial" w:hAnsi="Arial"/>
                <w:sz w:val="20"/>
                <w:szCs w:val="20"/>
                <w:color w:val="auto"/>
              </w:rPr>
              <w:t>2011</w:t>
            </w:r>
          </w:p>
        </w:tc>
      </w:tr>
      <w:tr>
        <w:trPr>
          <w:trHeight w:val="223"/>
        </w:trPr>
        <w:tc>
          <w:tcPr>
            <w:tcW w:w="2900" w:type="dxa"/>
            <w:vAlign w:val="bottom"/>
            <w:shd w:val="clear" w:color="auto" w:fill="CCEEFF"/>
          </w:tcPr>
          <w:p>
            <w:pPr>
              <w:ind w:left="20"/>
              <w:spacing w:after="0" w:line="223" w:lineRule="exact"/>
              <w:rPr>
                <w:sz w:val="20"/>
                <w:szCs w:val="20"/>
                <w:color w:val="auto"/>
              </w:rPr>
            </w:pPr>
            <w:r>
              <w:rPr>
                <w:rFonts w:ascii="Arial" w:cs="Arial" w:eastAsia="Arial" w:hAnsi="Arial"/>
                <w:sz w:val="20"/>
                <w:szCs w:val="20"/>
                <w:color w:val="auto"/>
              </w:rPr>
              <w:t>Dividend yield</w:t>
            </w:r>
          </w:p>
        </w:tc>
        <w:tc>
          <w:tcPr>
            <w:tcW w:w="168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0.0 %</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0.0 %</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0.0 %</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0.0 %</w:t>
            </w:r>
          </w:p>
        </w:tc>
      </w:tr>
      <w:tr>
        <w:trPr>
          <w:trHeight w:val="230"/>
        </w:trPr>
        <w:tc>
          <w:tcPr>
            <w:tcW w:w="2900" w:type="dxa"/>
            <w:vAlign w:val="bottom"/>
          </w:tcPr>
          <w:p>
            <w:pPr>
              <w:ind w:left="20"/>
              <w:spacing w:after="0"/>
              <w:rPr>
                <w:sz w:val="20"/>
                <w:szCs w:val="20"/>
                <w:color w:val="auto"/>
              </w:rPr>
            </w:pPr>
            <w:r>
              <w:rPr>
                <w:rFonts w:ascii="Arial" w:cs="Arial" w:eastAsia="Arial" w:hAnsi="Arial"/>
                <w:sz w:val="20"/>
                <w:szCs w:val="20"/>
                <w:color w:val="auto"/>
              </w:rPr>
              <w:t>Expected volatility</w:t>
            </w:r>
          </w:p>
        </w:tc>
        <w:tc>
          <w:tcPr>
            <w:tcW w:w="1680" w:type="dxa"/>
            <w:vAlign w:val="bottom"/>
          </w:tcPr>
          <w:p>
            <w:pPr>
              <w:jc w:val="right"/>
              <w:spacing w:after="0"/>
              <w:rPr>
                <w:sz w:val="20"/>
                <w:szCs w:val="20"/>
                <w:color w:val="auto"/>
              </w:rPr>
            </w:pPr>
            <w:r>
              <w:rPr>
                <w:rFonts w:ascii="Arial" w:cs="Arial" w:eastAsia="Arial" w:hAnsi="Arial"/>
                <w:sz w:val="20"/>
                <w:szCs w:val="20"/>
                <w:color w:val="auto"/>
              </w:rPr>
              <w:t>47.6 %</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53.6 %</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48.1 %</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54.8 %</w:t>
            </w:r>
          </w:p>
        </w:tc>
      </w:tr>
      <w:tr>
        <w:trPr>
          <w:trHeight w:val="230"/>
        </w:trPr>
        <w:tc>
          <w:tcPr>
            <w:tcW w:w="2900" w:type="dxa"/>
            <w:vAlign w:val="bottom"/>
            <w:shd w:val="clear" w:color="auto" w:fill="CCEEFF"/>
          </w:tcPr>
          <w:p>
            <w:pPr>
              <w:ind w:left="20"/>
              <w:spacing w:after="0"/>
              <w:rPr>
                <w:sz w:val="20"/>
                <w:szCs w:val="20"/>
                <w:color w:val="auto"/>
              </w:rPr>
            </w:pPr>
            <w:r>
              <w:rPr>
                <w:rFonts w:ascii="Arial" w:cs="Arial" w:eastAsia="Arial" w:hAnsi="Arial"/>
                <w:sz w:val="20"/>
                <w:szCs w:val="20"/>
                <w:color w:val="auto"/>
              </w:rPr>
              <w:t>Risk-free interest rate</w:t>
            </w:r>
          </w:p>
        </w:tc>
        <w:tc>
          <w:tcPr>
            <w:tcW w:w="16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0.9 %</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1.7 %</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0.9 %</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1.9 %</w:t>
            </w:r>
          </w:p>
        </w:tc>
      </w:tr>
      <w:tr>
        <w:trPr>
          <w:trHeight w:val="250"/>
        </w:trPr>
        <w:tc>
          <w:tcPr>
            <w:tcW w:w="2900" w:type="dxa"/>
            <w:vAlign w:val="bottom"/>
          </w:tcPr>
          <w:p>
            <w:pPr>
              <w:ind w:left="20"/>
              <w:spacing w:after="0"/>
              <w:rPr>
                <w:sz w:val="20"/>
                <w:szCs w:val="20"/>
                <w:color w:val="auto"/>
              </w:rPr>
            </w:pPr>
            <w:r>
              <w:rPr>
                <w:rFonts w:ascii="Arial" w:cs="Arial" w:eastAsia="Arial" w:hAnsi="Arial"/>
                <w:sz w:val="20"/>
                <w:szCs w:val="20"/>
                <w:color w:val="auto"/>
              </w:rPr>
              <w:t>Expected term</w:t>
            </w:r>
          </w:p>
        </w:tc>
        <w:tc>
          <w:tcPr>
            <w:tcW w:w="1960" w:type="dxa"/>
            <w:vAlign w:val="bottom"/>
            <w:gridSpan w:val="2"/>
          </w:tcPr>
          <w:p>
            <w:pPr>
              <w:ind w:left="880"/>
              <w:spacing w:after="0"/>
              <w:rPr>
                <w:sz w:val="20"/>
                <w:szCs w:val="20"/>
                <w:color w:val="auto"/>
              </w:rPr>
            </w:pPr>
            <w:r>
              <w:rPr>
                <w:rFonts w:ascii="Arial" w:cs="Arial" w:eastAsia="Arial" w:hAnsi="Arial"/>
                <w:sz w:val="20"/>
                <w:szCs w:val="20"/>
                <w:color w:val="auto"/>
              </w:rPr>
              <w:t>5.4 Years</w:t>
            </w:r>
          </w:p>
        </w:tc>
        <w:tc>
          <w:tcPr>
            <w:tcW w:w="1960" w:type="dxa"/>
            <w:vAlign w:val="bottom"/>
            <w:gridSpan w:val="2"/>
          </w:tcPr>
          <w:p>
            <w:pPr>
              <w:ind w:left="880"/>
              <w:spacing w:after="0"/>
              <w:rPr>
                <w:sz w:val="20"/>
                <w:szCs w:val="20"/>
                <w:color w:val="auto"/>
              </w:rPr>
            </w:pPr>
            <w:r>
              <w:rPr>
                <w:rFonts w:ascii="Arial" w:cs="Arial" w:eastAsia="Arial" w:hAnsi="Arial"/>
                <w:sz w:val="20"/>
                <w:szCs w:val="20"/>
                <w:color w:val="auto"/>
              </w:rPr>
              <w:t>5.8 Years</w:t>
            </w:r>
          </w:p>
        </w:tc>
        <w:tc>
          <w:tcPr>
            <w:tcW w:w="1940" w:type="dxa"/>
            <w:vAlign w:val="bottom"/>
            <w:gridSpan w:val="2"/>
          </w:tcPr>
          <w:p>
            <w:pPr>
              <w:ind w:left="880"/>
              <w:spacing w:after="0"/>
              <w:rPr>
                <w:sz w:val="20"/>
                <w:szCs w:val="20"/>
                <w:color w:val="auto"/>
              </w:rPr>
            </w:pPr>
            <w:r>
              <w:rPr>
                <w:rFonts w:ascii="Arial" w:cs="Arial" w:eastAsia="Arial" w:hAnsi="Arial"/>
                <w:sz w:val="20"/>
                <w:szCs w:val="20"/>
                <w:color w:val="auto"/>
              </w:rPr>
              <w:t>5.5 Years</w:t>
            </w:r>
          </w:p>
        </w:tc>
        <w:tc>
          <w:tcPr>
            <w:tcW w:w="1660" w:type="dxa"/>
            <w:vAlign w:val="bottom"/>
          </w:tcPr>
          <w:p>
            <w:pPr>
              <w:jc w:val="right"/>
              <w:spacing w:after="0"/>
              <w:rPr>
                <w:sz w:val="20"/>
                <w:szCs w:val="20"/>
                <w:color w:val="auto"/>
              </w:rPr>
            </w:pPr>
            <w:r>
              <w:rPr>
                <w:rFonts w:ascii="Arial" w:cs="Arial" w:eastAsia="Arial" w:hAnsi="Arial"/>
                <w:sz w:val="20"/>
                <w:szCs w:val="20"/>
                <w:color w:val="auto"/>
              </w:rPr>
              <w:t>6.0 Years</w:t>
            </w:r>
          </w:p>
        </w:tc>
      </w:tr>
    </w:tbl>
    <w:p>
      <w:pPr>
        <w:spacing w:after="0" w:line="201" w:lineRule="exact"/>
        <w:rPr>
          <w:sz w:val="20"/>
          <w:szCs w:val="20"/>
          <w:color w:val="auto"/>
        </w:rPr>
      </w:pPr>
    </w:p>
    <w:p>
      <w:pPr>
        <w:jc w:val="both"/>
        <w:ind w:firstLine="648"/>
        <w:spacing w:after="0"/>
        <w:rPr>
          <w:sz w:val="20"/>
          <w:szCs w:val="20"/>
          <w:color w:val="auto"/>
        </w:rPr>
      </w:pPr>
      <w:r>
        <w:rPr>
          <w:rFonts w:ascii="Arial" w:cs="Arial" w:eastAsia="Arial" w:hAnsi="Arial"/>
          <w:sz w:val="22"/>
          <w:szCs w:val="22"/>
          <w:i w:val="1"/>
          <w:iCs w:val="1"/>
          <w:color w:val="auto"/>
        </w:rPr>
        <w:t>Expected Volatility</w:t>
      </w:r>
      <w:r>
        <w:rPr>
          <w:rFonts w:ascii="Arial" w:cs="Arial" w:eastAsia="Arial" w:hAnsi="Arial"/>
          <w:sz w:val="22"/>
          <w:szCs w:val="22"/>
          <w:color w:val="auto"/>
        </w:rPr>
        <w:t>: The Company uses historical volatility as it provides a reasonable estimate of the expected volatility.</w:t>
      </w:r>
      <w:r>
        <w:rPr>
          <w:rFonts w:ascii="Arial" w:cs="Arial" w:eastAsia="Arial" w:hAnsi="Arial"/>
          <w:sz w:val="22"/>
          <w:szCs w:val="22"/>
          <w:i w:val="1"/>
          <w:iCs w:val="1"/>
          <w:color w:val="auto"/>
        </w:rPr>
        <w:t xml:space="preserve"> </w:t>
      </w:r>
      <w:r>
        <w:rPr>
          <w:rFonts w:ascii="Arial" w:cs="Arial" w:eastAsia="Arial" w:hAnsi="Arial"/>
          <w:sz w:val="22"/>
          <w:szCs w:val="22"/>
          <w:color w:val="auto"/>
        </w:rPr>
        <w:t>Historical volatility is based on the most recent volatility of the stock price over a period of time equivalent to the expected term of the option.</w:t>
      </w:r>
    </w:p>
    <w:p>
      <w:pPr>
        <w:sectPr>
          <w:pgSz w:w="11900" w:h="16838" w:orient="portrait"/>
          <w:cols w:equalWidth="0" w:num="1">
            <w:col w:w="11420"/>
          </w:cols>
          <w:pgMar w:left="240" w:top="118" w:right="239" w:bottom="0" w:gutter="0" w:footer="0" w:header="0"/>
        </w:sectPr>
      </w:pPr>
    </w:p>
    <w:bookmarkStart w:id="14" w:name="page15"/>
    <w:bookmarkEnd w:id="14"/>
    <w:p>
      <w:pPr>
        <w:jc w:val="both"/>
        <w:ind w:firstLine="648"/>
        <w:spacing w:after="0" w:line="251" w:lineRule="auto"/>
        <w:rPr>
          <w:sz w:val="20"/>
          <w:szCs w:val="20"/>
          <w:color w:val="auto"/>
        </w:rPr>
      </w:pPr>
      <w:r>
        <w:rPr>
          <w:rFonts w:ascii="Arial" w:cs="Arial" w:eastAsia="Arial" w:hAnsi="Arial"/>
          <w:sz w:val="22"/>
          <w:szCs w:val="22"/>
          <w:i w:val="1"/>
          <w:iCs w:val="1"/>
          <w:color w:val="auto"/>
        </w:rPr>
        <w:t>Risk-Free Interest Rate</w:t>
      </w:r>
      <w:r>
        <w:rPr>
          <w:rFonts w:ascii="Arial" w:cs="Arial" w:eastAsia="Arial" w:hAnsi="Arial"/>
          <w:sz w:val="22"/>
          <w:szCs w:val="22"/>
          <w:color w:val="auto"/>
        </w:rPr>
        <w:t>: The risk-free interest rate is based on the U.S. Treasury zero coupon yield curve in effect at the time</w:t>
      </w:r>
      <w:r>
        <w:rPr>
          <w:rFonts w:ascii="Arial" w:cs="Arial" w:eastAsia="Arial" w:hAnsi="Arial"/>
          <w:sz w:val="22"/>
          <w:szCs w:val="22"/>
          <w:i w:val="1"/>
          <w:iCs w:val="1"/>
          <w:color w:val="auto"/>
        </w:rPr>
        <w:t xml:space="preserve"> </w:t>
      </w:r>
      <w:r>
        <w:rPr>
          <w:rFonts w:ascii="Arial" w:cs="Arial" w:eastAsia="Arial" w:hAnsi="Arial"/>
          <w:sz w:val="22"/>
          <w:szCs w:val="22"/>
          <w:color w:val="auto"/>
        </w:rPr>
        <w:t>of grant for the expected term of the option.</w:t>
      </w:r>
    </w:p>
    <w:p>
      <w:pPr>
        <w:spacing w:after="0" w:line="20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i w:val="1"/>
          <w:iCs w:val="1"/>
          <w:color w:val="auto"/>
        </w:rPr>
        <w:t>Expected Term</w:t>
      </w:r>
      <w:r>
        <w:rPr>
          <w:rFonts w:ascii="Arial" w:cs="Arial" w:eastAsia="Arial" w:hAnsi="Arial"/>
          <w:sz w:val="22"/>
          <w:szCs w:val="22"/>
          <w:color w:val="auto"/>
        </w:rPr>
        <w:t>: The Company’s expected term represents the weighted-average period that the Company’s stock options are</w:t>
      </w:r>
      <w:r>
        <w:rPr>
          <w:rFonts w:ascii="Arial" w:cs="Arial" w:eastAsia="Arial" w:hAnsi="Arial"/>
          <w:sz w:val="22"/>
          <w:szCs w:val="22"/>
          <w:i w:val="1"/>
          <w:iCs w:val="1"/>
          <w:color w:val="auto"/>
        </w:rPr>
        <w:t xml:space="preserve"> </w:t>
      </w:r>
      <w:r>
        <w:rPr>
          <w:rFonts w:ascii="Arial" w:cs="Arial" w:eastAsia="Arial" w:hAnsi="Arial"/>
          <w:sz w:val="22"/>
          <w:szCs w:val="22"/>
          <w:color w:val="auto"/>
        </w:rPr>
        <w:t>expected to be outstanding. The expected term is based on the expected time to post-vesting exercise of options by employees. The Company uses historical exercise patterns of previously granted options to derive employee behavioral patterns used to forecast expected exercise patterns.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table summarizes the Company’s activities with respect to its stock option plans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7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580" w:type="dxa"/>
            <w:vAlign w:val="bottom"/>
          </w:tcPr>
          <w:p>
            <w:pPr>
              <w:jc w:val="center"/>
              <w:ind w:right="16"/>
              <w:spacing w:after="0"/>
              <w:rPr>
                <w:sz w:val="20"/>
                <w:szCs w:val="20"/>
                <w:color w:val="auto"/>
              </w:rPr>
            </w:pPr>
            <w:r>
              <w:rPr>
                <w:rFonts w:ascii="Arial" w:cs="Arial" w:eastAsia="Arial" w:hAnsi="Arial"/>
                <w:sz w:val="21"/>
                <w:szCs w:val="21"/>
                <w:color w:val="auto"/>
                <w:w w:val="89"/>
              </w:rPr>
              <w:t>Weighted-</w:t>
            </w:r>
          </w:p>
        </w:tc>
        <w:tc>
          <w:tcPr>
            <w:tcW w:w="3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43"/>
        </w:trPr>
        <w:tc>
          <w:tcPr>
            <w:tcW w:w="47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center"/>
              <w:ind w:right="256"/>
              <w:spacing w:after="0"/>
              <w:rPr>
                <w:sz w:val="20"/>
                <w:szCs w:val="20"/>
                <w:color w:val="auto"/>
              </w:rPr>
            </w:pPr>
            <w:r>
              <w:rPr>
                <w:rFonts w:ascii="Arial" w:cs="Arial" w:eastAsia="Arial" w:hAnsi="Arial"/>
                <w:sz w:val="21"/>
                <w:szCs w:val="21"/>
                <w:color w:val="auto"/>
                <w:w w:val="89"/>
              </w:rPr>
              <w:t>Weighted-</w:t>
            </w:r>
          </w:p>
        </w:tc>
        <w:tc>
          <w:tcPr>
            <w:tcW w:w="1580" w:type="dxa"/>
            <w:vAlign w:val="bottom"/>
          </w:tcPr>
          <w:p>
            <w:pPr>
              <w:jc w:val="center"/>
              <w:spacing w:after="0"/>
              <w:rPr>
                <w:sz w:val="20"/>
                <w:szCs w:val="20"/>
                <w:color w:val="auto"/>
              </w:rPr>
            </w:pPr>
            <w:r>
              <w:rPr>
                <w:rFonts w:ascii="Arial" w:cs="Arial" w:eastAsia="Arial" w:hAnsi="Arial"/>
                <w:sz w:val="21"/>
                <w:szCs w:val="21"/>
                <w:color w:val="auto"/>
                <w:w w:val="86"/>
              </w:rPr>
              <w:t>Average</w:t>
            </w:r>
          </w:p>
        </w:tc>
        <w:tc>
          <w:tcPr>
            <w:tcW w:w="3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43"/>
        </w:trPr>
        <w:tc>
          <w:tcPr>
            <w:tcW w:w="47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center"/>
              <w:ind w:right="276"/>
              <w:spacing w:after="0"/>
              <w:rPr>
                <w:sz w:val="20"/>
                <w:szCs w:val="20"/>
                <w:color w:val="auto"/>
              </w:rPr>
            </w:pPr>
            <w:r>
              <w:rPr>
                <w:rFonts w:ascii="Arial" w:cs="Arial" w:eastAsia="Arial" w:hAnsi="Arial"/>
                <w:sz w:val="21"/>
                <w:szCs w:val="21"/>
                <w:color w:val="auto"/>
                <w:w w:val="86"/>
              </w:rPr>
              <w:t>Average</w:t>
            </w:r>
          </w:p>
        </w:tc>
        <w:tc>
          <w:tcPr>
            <w:tcW w:w="1580" w:type="dxa"/>
            <w:vAlign w:val="bottom"/>
          </w:tcPr>
          <w:p>
            <w:pPr>
              <w:jc w:val="center"/>
              <w:spacing w:after="0"/>
              <w:rPr>
                <w:sz w:val="20"/>
                <w:szCs w:val="20"/>
                <w:color w:val="auto"/>
              </w:rPr>
            </w:pPr>
            <w:r>
              <w:rPr>
                <w:rFonts w:ascii="Arial" w:cs="Arial" w:eastAsia="Arial" w:hAnsi="Arial"/>
                <w:sz w:val="21"/>
                <w:szCs w:val="21"/>
                <w:color w:val="auto"/>
                <w:w w:val="91"/>
              </w:rPr>
              <w:t>Remaining</w:t>
            </w:r>
          </w:p>
        </w:tc>
        <w:tc>
          <w:tcPr>
            <w:tcW w:w="3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43"/>
        </w:trPr>
        <w:tc>
          <w:tcPr>
            <w:tcW w:w="4700" w:type="dxa"/>
            <w:vAlign w:val="bottom"/>
          </w:tcPr>
          <w:p>
            <w:pPr>
              <w:spacing w:after="0"/>
              <w:rPr>
                <w:sz w:val="21"/>
                <w:szCs w:val="21"/>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21"/>
                <w:szCs w:val="21"/>
                <w:color w:val="auto"/>
                <w:w w:val="91"/>
              </w:rPr>
              <w:t>Number of</w:t>
            </w:r>
          </w:p>
        </w:tc>
        <w:tc>
          <w:tcPr>
            <w:tcW w:w="260" w:type="dxa"/>
            <w:vAlign w:val="bottom"/>
          </w:tcPr>
          <w:p>
            <w:pPr>
              <w:spacing w:after="0"/>
              <w:rPr>
                <w:sz w:val="21"/>
                <w:szCs w:val="21"/>
                <w:color w:val="auto"/>
              </w:rPr>
            </w:pPr>
          </w:p>
        </w:tc>
        <w:tc>
          <w:tcPr>
            <w:tcW w:w="1300" w:type="dxa"/>
            <w:vAlign w:val="bottom"/>
          </w:tcPr>
          <w:p>
            <w:pPr>
              <w:jc w:val="center"/>
              <w:ind w:right="276"/>
              <w:spacing w:after="0"/>
              <w:rPr>
                <w:sz w:val="20"/>
                <w:szCs w:val="20"/>
                <w:color w:val="auto"/>
              </w:rPr>
            </w:pPr>
            <w:r>
              <w:rPr>
                <w:rFonts w:ascii="Arial" w:cs="Arial" w:eastAsia="Arial" w:hAnsi="Arial"/>
                <w:sz w:val="21"/>
                <w:szCs w:val="21"/>
                <w:color w:val="auto"/>
                <w:w w:val="89"/>
              </w:rPr>
              <w:t>Exercise</w:t>
            </w:r>
          </w:p>
        </w:tc>
        <w:tc>
          <w:tcPr>
            <w:tcW w:w="1580" w:type="dxa"/>
            <w:vAlign w:val="bottom"/>
          </w:tcPr>
          <w:p>
            <w:pPr>
              <w:jc w:val="center"/>
              <w:spacing w:after="0"/>
              <w:rPr>
                <w:sz w:val="20"/>
                <w:szCs w:val="20"/>
                <w:color w:val="auto"/>
              </w:rPr>
            </w:pPr>
            <w:r>
              <w:rPr>
                <w:rFonts w:ascii="Arial" w:cs="Arial" w:eastAsia="Arial" w:hAnsi="Arial"/>
                <w:sz w:val="21"/>
                <w:szCs w:val="21"/>
                <w:color w:val="auto"/>
                <w:w w:val="89"/>
              </w:rPr>
              <w:t>Contractual</w:t>
            </w:r>
          </w:p>
        </w:tc>
        <w:tc>
          <w:tcPr>
            <w:tcW w:w="340" w:type="dxa"/>
            <w:vAlign w:val="bottom"/>
          </w:tcPr>
          <w:p>
            <w:pPr>
              <w:spacing w:after="0"/>
              <w:rPr>
                <w:sz w:val="21"/>
                <w:szCs w:val="21"/>
                <w:color w:val="auto"/>
              </w:rPr>
            </w:pPr>
          </w:p>
        </w:tc>
        <w:tc>
          <w:tcPr>
            <w:tcW w:w="1340" w:type="dxa"/>
            <w:vAlign w:val="bottom"/>
          </w:tcPr>
          <w:p>
            <w:pPr>
              <w:jc w:val="center"/>
              <w:ind w:right="216"/>
              <w:spacing w:after="0"/>
              <w:rPr>
                <w:sz w:val="20"/>
                <w:szCs w:val="20"/>
                <w:color w:val="auto"/>
              </w:rPr>
            </w:pPr>
            <w:r>
              <w:rPr>
                <w:rFonts w:ascii="Arial" w:cs="Arial" w:eastAsia="Arial" w:hAnsi="Arial"/>
                <w:sz w:val="21"/>
                <w:szCs w:val="21"/>
                <w:color w:val="auto"/>
                <w:w w:val="88"/>
              </w:rPr>
              <w:t>Aggregate</w:t>
            </w:r>
          </w:p>
        </w:tc>
      </w:tr>
      <w:tr>
        <w:trPr>
          <w:trHeight w:val="243"/>
        </w:trPr>
        <w:tc>
          <w:tcPr>
            <w:tcW w:w="4700" w:type="dxa"/>
            <w:vAlign w:val="bottom"/>
          </w:tcPr>
          <w:p>
            <w:pPr>
              <w:spacing w:after="0"/>
              <w:rPr>
                <w:sz w:val="21"/>
                <w:szCs w:val="21"/>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21"/>
                <w:szCs w:val="21"/>
                <w:color w:val="auto"/>
                <w:w w:val="86"/>
              </w:rPr>
              <w:t>Shares (In</w:t>
            </w:r>
          </w:p>
        </w:tc>
        <w:tc>
          <w:tcPr>
            <w:tcW w:w="260" w:type="dxa"/>
            <w:vAlign w:val="bottom"/>
          </w:tcPr>
          <w:p>
            <w:pPr>
              <w:spacing w:after="0"/>
              <w:rPr>
                <w:sz w:val="21"/>
                <w:szCs w:val="21"/>
                <w:color w:val="auto"/>
              </w:rPr>
            </w:pPr>
          </w:p>
        </w:tc>
        <w:tc>
          <w:tcPr>
            <w:tcW w:w="1300" w:type="dxa"/>
            <w:vAlign w:val="bottom"/>
          </w:tcPr>
          <w:p>
            <w:pPr>
              <w:jc w:val="center"/>
              <w:ind w:right="276"/>
              <w:spacing w:after="0"/>
              <w:rPr>
                <w:sz w:val="20"/>
                <w:szCs w:val="20"/>
                <w:color w:val="auto"/>
              </w:rPr>
            </w:pPr>
            <w:r>
              <w:rPr>
                <w:rFonts w:ascii="Arial" w:cs="Arial" w:eastAsia="Arial" w:hAnsi="Arial"/>
                <w:sz w:val="21"/>
                <w:szCs w:val="21"/>
                <w:color w:val="auto"/>
                <w:w w:val="87"/>
              </w:rPr>
              <w:t>Price Per</w:t>
            </w:r>
          </w:p>
        </w:tc>
        <w:tc>
          <w:tcPr>
            <w:tcW w:w="1580" w:type="dxa"/>
            <w:vAlign w:val="bottom"/>
          </w:tcPr>
          <w:p>
            <w:pPr>
              <w:jc w:val="center"/>
              <w:spacing w:after="0"/>
              <w:rPr>
                <w:sz w:val="20"/>
                <w:szCs w:val="20"/>
                <w:color w:val="auto"/>
              </w:rPr>
            </w:pPr>
            <w:r>
              <w:rPr>
                <w:rFonts w:ascii="Arial" w:cs="Arial" w:eastAsia="Arial" w:hAnsi="Arial"/>
                <w:sz w:val="21"/>
                <w:szCs w:val="21"/>
                <w:color w:val="auto"/>
                <w:w w:val="90"/>
              </w:rPr>
              <w:t>Term (In</w:t>
            </w:r>
          </w:p>
        </w:tc>
        <w:tc>
          <w:tcPr>
            <w:tcW w:w="340" w:type="dxa"/>
            <w:vAlign w:val="bottom"/>
          </w:tcPr>
          <w:p>
            <w:pPr>
              <w:spacing w:after="0"/>
              <w:rPr>
                <w:sz w:val="21"/>
                <w:szCs w:val="21"/>
                <w:color w:val="auto"/>
              </w:rPr>
            </w:pPr>
          </w:p>
        </w:tc>
        <w:tc>
          <w:tcPr>
            <w:tcW w:w="1340" w:type="dxa"/>
            <w:vAlign w:val="bottom"/>
          </w:tcPr>
          <w:p>
            <w:pPr>
              <w:jc w:val="center"/>
              <w:ind w:right="196"/>
              <w:spacing w:after="0"/>
              <w:rPr>
                <w:sz w:val="20"/>
                <w:szCs w:val="20"/>
                <w:color w:val="auto"/>
              </w:rPr>
            </w:pPr>
            <w:r>
              <w:rPr>
                <w:rFonts w:ascii="Arial" w:cs="Arial" w:eastAsia="Arial" w:hAnsi="Arial"/>
                <w:sz w:val="21"/>
                <w:szCs w:val="21"/>
                <w:color w:val="auto"/>
                <w:w w:val="93"/>
              </w:rPr>
              <w:t>Intrinsic</w:t>
            </w:r>
          </w:p>
        </w:tc>
      </w:tr>
      <w:tr>
        <w:trPr>
          <w:trHeight w:val="256"/>
        </w:trPr>
        <w:tc>
          <w:tcPr>
            <w:tcW w:w="4700" w:type="dxa"/>
            <w:vAlign w:val="bottom"/>
            <w:tcBorders>
              <w:bottom w:val="single" w:sz="8" w:color="auto"/>
            </w:tcBorders>
          </w:tcPr>
          <w:p>
            <w:pPr>
              <w:ind w:left="1880"/>
              <w:spacing w:after="0"/>
              <w:rPr>
                <w:sz w:val="20"/>
                <w:szCs w:val="20"/>
                <w:color w:val="auto"/>
              </w:rPr>
            </w:pPr>
            <w:r>
              <w:rPr>
                <w:rFonts w:ascii="Arial" w:cs="Arial" w:eastAsia="Arial" w:hAnsi="Arial"/>
                <w:sz w:val="21"/>
                <w:szCs w:val="21"/>
                <w:color w:val="auto"/>
              </w:rPr>
              <w:t>Options</w:t>
            </w:r>
          </w:p>
        </w:tc>
        <w:tc>
          <w:tcPr>
            <w:tcW w:w="15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21"/>
                <w:szCs w:val="21"/>
                <w:color w:val="auto"/>
                <w:w w:val="86"/>
              </w:rPr>
              <w:t>Thousands)</w:t>
            </w:r>
          </w:p>
        </w:tc>
        <w:tc>
          <w:tcPr>
            <w:tcW w:w="2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276"/>
              <w:spacing w:after="0"/>
              <w:rPr>
                <w:sz w:val="20"/>
                <w:szCs w:val="20"/>
                <w:color w:val="auto"/>
              </w:rPr>
            </w:pPr>
            <w:r>
              <w:rPr>
                <w:rFonts w:ascii="Arial" w:cs="Arial" w:eastAsia="Arial" w:hAnsi="Arial"/>
                <w:sz w:val="21"/>
                <w:szCs w:val="21"/>
                <w:color w:val="auto"/>
                <w:w w:val="85"/>
              </w:rPr>
              <w:t>Share</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21"/>
                <w:szCs w:val="21"/>
                <w:color w:val="auto"/>
                <w:w w:val="84"/>
              </w:rPr>
              <w:t>Years)</w:t>
            </w:r>
          </w:p>
        </w:tc>
        <w:tc>
          <w:tcPr>
            <w:tcW w:w="3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196"/>
              <w:spacing w:after="0"/>
              <w:rPr>
                <w:sz w:val="20"/>
                <w:szCs w:val="20"/>
                <w:color w:val="auto"/>
              </w:rPr>
            </w:pPr>
            <w:r>
              <w:rPr>
                <w:rFonts w:ascii="Arial" w:cs="Arial" w:eastAsia="Arial" w:hAnsi="Arial"/>
                <w:sz w:val="21"/>
                <w:szCs w:val="21"/>
                <w:color w:val="auto"/>
                <w:w w:val="89"/>
              </w:rPr>
              <w:t>Value</w:t>
            </w:r>
          </w:p>
        </w:tc>
      </w:tr>
      <w:tr>
        <w:trPr>
          <w:trHeight w:val="237"/>
        </w:trPr>
        <w:tc>
          <w:tcPr>
            <w:tcW w:w="4700" w:type="dxa"/>
            <w:vAlign w:val="bottom"/>
            <w:shd w:val="clear" w:color="auto" w:fill="CCEEFF"/>
          </w:tcPr>
          <w:p>
            <w:pPr>
              <w:spacing w:after="0" w:line="237" w:lineRule="exact"/>
              <w:rPr>
                <w:sz w:val="20"/>
                <w:szCs w:val="20"/>
                <w:color w:val="auto"/>
              </w:rPr>
            </w:pPr>
            <w:r>
              <w:rPr>
                <w:rFonts w:ascii="Arial" w:cs="Arial" w:eastAsia="Arial" w:hAnsi="Arial"/>
                <w:sz w:val="21"/>
                <w:szCs w:val="21"/>
                <w:color w:val="auto"/>
              </w:rPr>
              <w:t>Balance at January 1, 2012</w:t>
            </w:r>
          </w:p>
        </w:tc>
        <w:tc>
          <w:tcPr>
            <w:tcW w:w="1360" w:type="dxa"/>
            <w:vAlign w:val="bottom"/>
            <w:shd w:val="clear" w:color="auto" w:fill="CCEEFF"/>
          </w:tcPr>
          <w:p>
            <w:pPr>
              <w:jc w:val="right"/>
              <w:spacing w:after="0" w:line="237" w:lineRule="exact"/>
              <w:rPr>
                <w:sz w:val="20"/>
                <w:szCs w:val="20"/>
                <w:color w:val="auto"/>
              </w:rPr>
            </w:pPr>
            <w:r>
              <w:rPr>
                <w:rFonts w:ascii="Arial" w:cs="Arial" w:eastAsia="Arial" w:hAnsi="Arial"/>
                <w:sz w:val="21"/>
                <w:szCs w:val="21"/>
                <w:color w:val="auto"/>
              </w:rPr>
              <w:t>18,569</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jc w:val="right"/>
              <w:spacing w:after="0" w:line="237" w:lineRule="exact"/>
              <w:rPr>
                <w:sz w:val="20"/>
                <w:szCs w:val="20"/>
                <w:color w:val="auto"/>
              </w:rPr>
            </w:pPr>
            <w:r>
              <w:rPr>
                <w:rFonts w:ascii="Arial" w:cs="Arial" w:eastAsia="Arial" w:hAnsi="Arial"/>
                <w:sz w:val="21"/>
                <w:szCs w:val="21"/>
                <w:color w:val="auto"/>
              </w:rPr>
              <w:t>$</w:t>
            </w:r>
          </w:p>
        </w:tc>
        <w:tc>
          <w:tcPr>
            <w:tcW w:w="1300" w:type="dxa"/>
            <w:vAlign w:val="bottom"/>
            <w:shd w:val="clear" w:color="auto" w:fill="CCEEFF"/>
          </w:tcPr>
          <w:p>
            <w:pPr>
              <w:jc w:val="right"/>
              <w:ind w:right="156"/>
              <w:spacing w:after="0" w:line="237" w:lineRule="exact"/>
              <w:rPr>
                <w:sz w:val="20"/>
                <w:szCs w:val="20"/>
                <w:color w:val="auto"/>
              </w:rPr>
            </w:pPr>
            <w:r>
              <w:rPr>
                <w:rFonts w:ascii="Arial" w:cs="Arial" w:eastAsia="Arial" w:hAnsi="Arial"/>
                <w:sz w:val="21"/>
                <w:szCs w:val="21"/>
                <w:color w:val="auto"/>
              </w:rPr>
              <w:t>8.57</w:t>
            </w:r>
          </w:p>
        </w:tc>
        <w:tc>
          <w:tcPr>
            <w:tcW w:w="1580" w:type="dxa"/>
            <w:vAlign w:val="bottom"/>
            <w:shd w:val="clear" w:color="auto" w:fill="CCEEFF"/>
          </w:tcPr>
          <w:p>
            <w:pPr>
              <w:jc w:val="right"/>
              <w:ind w:right="36"/>
              <w:spacing w:after="0" w:line="237" w:lineRule="exact"/>
              <w:rPr>
                <w:sz w:val="20"/>
                <w:szCs w:val="20"/>
                <w:color w:val="auto"/>
              </w:rPr>
            </w:pPr>
            <w:r>
              <w:rPr>
                <w:rFonts w:ascii="Arial" w:cs="Arial" w:eastAsia="Arial" w:hAnsi="Arial"/>
                <w:sz w:val="21"/>
                <w:szCs w:val="21"/>
                <w:color w:val="auto"/>
              </w:rPr>
              <w:t>4.1</w:t>
            </w:r>
          </w:p>
        </w:tc>
        <w:tc>
          <w:tcPr>
            <w:tcW w:w="340" w:type="dxa"/>
            <w:vAlign w:val="bottom"/>
            <w:shd w:val="clear" w:color="auto" w:fill="CCEEFF"/>
          </w:tcPr>
          <w:p>
            <w:pPr>
              <w:jc w:val="right"/>
              <w:spacing w:after="0" w:line="237" w:lineRule="exact"/>
              <w:rPr>
                <w:sz w:val="20"/>
                <w:szCs w:val="20"/>
                <w:color w:val="auto"/>
              </w:rPr>
            </w:pPr>
            <w:r>
              <w:rPr>
                <w:rFonts w:ascii="Arial" w:cs="Arial" w:eastAsia="Arial" w:hAnsi="Arial"/>
                <w:sz w:val="21"/>
                <w:szCs w:val="21"/>
                <w:color w:val="auto"/>
              </w:rPr>
              <w:t>$</w:t>
            </w:r>
          </w:p>
        </w:tc>
        <w:tc>
          <w:tcPr>
            <w:tcW w:w="1340" w:type="dxa"/>
            <w:vAlign w:val="bottom"/>
            <w:shd w:val="clear" w:color="auto" w:fill="CCEEFF"/>
          </w:tcPr>
          <w:p>
            <w:pPr>
              <w:jc w:val="right"/>
              <w:ind w:right="16"/>
              <w:spacing w:after="0" w:line="237" w:lineRule="exact"/>
              <w:rPr>
                <w:sz w:val="20"/>
                <w:szCs w:val="20"/>
                <w:color w:val="auto"/>
              </w:rPr>
            </w:pPr>
            <w:r>
              <w:rPr>
                <w:rFonts w:ascii="Arial" w:cs="Arial" w:eastAsia="Arial" w:hAnsi="Arial"/>
                <w:sz w:val="21"/>
                <w:szCs w:val="21"/>
                <w:color w:val="auto"/>
              </w:rPr>
              <w:t>696,371</w:t>
            </w:r>
          </w:p>
        </w:tc>
      </w:tr>
      <w:tr>
        <w:trPr>
          <w:trHeight w:val="243"/>
        </w:trPr>
        <w:tc>
          <w:tcPr>
            <w:tcW w:w="4700" w:type="dxa"/>
            <w:vAlign w:val="bottom"/>
          </w:tcPr>
          <w:p>
            <w:pPr>
              <w:ind w:left="360"/>
              <w:spacing w:after="0"/>
              <w:rPr>
                <w:sz w:val="20"/>
                <w:szCs w:val="20"/>
                <w:color w:val="auto"/>
              </w:rPr>
            </w:pPr>
            <w:r>
              <w:rPr>
                <w:rFonts w:ascii="Arial" w:cs="Arial" w:eastAsia="Arial" w:hAnsi="Arial"/>
                <w:sz w:val="21"/>
                <w:szCs w:val="21"/>
                <w:color w:val="auto"/>
              </w:rPr>
              <w:t>Granted 01/01/12 - 03/31/12</w:t>
            </w:r>
          </w:p>
        </w:tc>
        <w:tc>
          <w:tcPr>
            <w:tcW w:w="1360" w:type="dxa"/>
            <w:vAlign w:val="bottom"/>
          </w:tcPr>
          <w:p>
            <w:pPr>
              <w:jc w:val="right"/>
              <w:spacing w:after="0"/>
              <w:rPr>
                <w:sz w:val="20"/>
                <w:szCs w:val="20"/>
                <w:color w:val="auto"/>
              </w:rPr>
            </w:pPr>
            <w:r>
              <w:rPr>
                <w:rFonts w:ascii="Arial" w:cs="Arial" w:eastAsia="Arial" w:hAnsi="Arial"/>
                <w:sz w:val="21"/>
                <w:szCs w:val="21"/>
                <w:color w:val="auto"/>
              </w:rPr>
              <w:t>120</w:t>
            </w:r>
          </w:p>
        </w:tc>
        <w:tc>
          <w:tcPr>
            <w:tcW w:w="14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21"/>
                <w:szCs w:val="21"/>
                <w:color w:val="auto"/>
              </w:rPr>
              <w:t>$</w:t>
            </w:r>
          </w:p>
        </w:tc>
        <w:tc>
          <w:tcPr>
            <w:tcW w:w="1300" w:type="dxa"/>
            <w:vAlign w:val="bottom"/>
          </w:tcPr>
          <w:p>
            <w:pPr>
              <w:jc w:val="right"/>
              <w:ind w:right="156"/>
              <w:spacing w:after="0"/>
              <w:rPr>
                <w:sz w:val="20"/>
                <w:szCs w:val="20"/>
                <w:color w:val="auto"/>
              </w:rPr>
            </w:pPr>
            <w:r>
              <w:rPr>
                <w:rFonts w:ascii="Arial" w:cs="Arial" w:eastAsia="Arial" w:hAnsi="Arial"/>
                <w:sz w:val="21"/>
                <w:szCs w:val="21"/>
                <w:color w:val="auto"/>
              </w:rPr>
              <w:t>57.45</w:t>
            </w:r>
          </w:p>
        </w:tc>
        <w:tc>
          <w:tcPr>
            <w:tcW w:w="1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43"/>
        </w:trPr>
        <w:tc>
          <w:tcPr>
            <w:tcW w:w="4700" w:type="dxa"/>
            <w:vAlign w:val="bottom"/>
            <w:shd w:val="clear" w:color="auto" w:fill="CCEEFF"/>
          </w:tcPr>
          <w:p>
            <w:pPr>
              <w:ind w:left="360"/>
              <w:spacing w:after="0"/>
              <w:rPr>
                <w:sz w:val="20"/>
                <w:szCs w:val="20"/>
                <w:color w:val="auto"/>
              </w:rPr>
            </w:pPr>
            <w:r>
              <w:rPr>
                <w:rFonts w:ascii="Arial" w:cs="Arial" w:eastAsia="Arial" w:hAnsi="Arial"/>
                <w:sz w:val="21"/>
                <w:szCs w:val="21"/>
                <w:color w:val="auto"/>
              </w:rPr>
              <w:t>Granted 04/01/12 - 06/30/12</w:t>
            </w:r>
          </w:p>
        </w:tc>
        <w:tc>
          <w:tcPr>
            <w:tcW w:w="1360" w:type="dxa"/>
            <w:vAlign w:val="bottom"/>
            <w:shd w:val="clear" w:color="auto" w:fill="CCEEFF"/>
          </w:tcPr>
          <w:p>
            <w:pPr>
              <w:jc w:val="right"/>
              <w:spacing w:after="0"/>
              <w:rPr>
                <w:sz w:val="20"/>
                <w:szCs w:val="20"/>
                <w:color w:val="auto"/>
              </w:rPr>
            </w:pPr>
            <w:r>
              <w:rPr>
                <w:rFonts w:ascii="Arial" w:cs="Arial" w:eastAsia="Arial" w:hAnsi="Arial"/>
                <w:sz w:val="21"/>
                <w:szCs w:val="21"/>
                <w:color w:val="auto"/>
              </w:rPr>
              <w:t>65</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21"/>
                <w:szCs w:val="21"/>
                <w:color w:val="auto"/>
              </w:rPr>
              <w:t>$</w:t>
            </w:r>
          </w:p>
        </w:tc>
        <w:tc>
          <w:tcPr>
            <w:tcW w:w="1300" w:type="dxa"/>
            <w:vAlign w:val="bottom"/>
            <w:shd w:val="clear" w:color="auto" w:fill="CCEEFF"/>
          </w:tcPr>
          <w:p>
            <w:pPr>
              <w:jc w:val="right"/>
              <w:ind w:right="156"/>
              <w:spacing w:after="0"/>
              <w:rPr>
                <w:sz w:val="20"/>
                <w:szCs w:val="20"/>
                <w:color w:val="auto"/>
              </w:rPr>
            </w:pPr>
            <w:r>
              <w:rPr>
                <w:rFonts w:ascii="Arial" w:cs="Arial" w:eastAsia="Arial" w:hAnsi="Arial"/>
                <w:sz w:val="21"/>
                <w:szCs w:val="21"/>
                <w:color w:val="auto"/>
              </w:rPr>
              <w:t>66.43</w:t>
            </w:r>
          </w:p>
        </w:tc>
        <w:tc>
          <w:tcPr>
            <w:tcW w:w="15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43"/>
        </w:trPr>
        <w:tc>
          <w:tcPr>
            <w:tcW w:w="4700" w:type="dxa"/>
            <w:vAlign w:val="bottom"/>
          </w:tcPr>
          <w:p>
            <w:pPr>
              <w:ind w:left="360"/>
              <w:spacing w:after="0"/>
              <w:rPr>
                <w:sz w:val="20"/>
                <w:szCs w:val="20"/>
                <w:color w:val="auto"/>
              </w:rPr>
            </w:pPr>
            <w:r>
              <w:rPr>
                <w:rFonts w:ascii="Arial" w:cs="Arial" w:eastAsia="Arial" w:hAnsi="Arial"/>
                <w:sz w:val="21"/>
                <w:szCs w:val="21"/>
                <w:color w:val="auto"/>
              </w:rPr>
              <w:t>Exercised</w:t>
            </w:r>
          </w:p>
        </w:tc>
        <w:tc>
          <w:tcPr>
            <w:tcW w:w="1500" w:type="dxa"/>
            <w:vAlign w:val="bottom"/>
            <w:gridSpan w:val="2"/>
          </w:tcPr>
          <w:p>
            <w:pPr>
              <w:jc w:val="right"/>
              <w:ind w:right="140"/>
              <w:spacing w:after="0"/>
              <w:rPr>
                <w:sz w:val="20"/>
                <w:szCs w:val="20"/>
                <w:color w:val="auto"/>
              </w:rPr>
            </w:pPr>
            <w:r>
              <w:rPr>
                <w:rFonts w:ascii="Arial" w:cs="Arial" w:eastAsia="Arial" w:hAnsi="Arial"/>
                <w:sz w:val="21"/>
                <w:szCs w:val="21"/>
                <w:color w:val="auto"/>
              </w:rPr>
              <w:t>(2,137)</w:t>
            </w:r>
          </w:p>
        </w:tc>
        <w:tc>
          <w:tcPr>
            <w:tcW w:w="260" w:type="dxa"/>
            <w:vAlign w:val="bottom"/>
          </w:tcPr>
          <w:p>
            <w:pPr>
              <w:jc w:val="right"/>
              <w:spacing w:after="0"/>
              <w:rPr>
                <w:sz w:val="20"/>
                <w:szCs w:val="20"/>
                <w:color w:val="auto"/>
              </w:rPr>
            </w:pPr>
            <w:r>
              <w:rPr>
                <w:rFonts w:ascii="Arial" w:cs="Arial" w:eastAsia="Arial" w:hAnsi="Arial"/>
                <w:sz w:val="21"/>
                <w:szCs w:val="21"/>
                <w:color w:val="auto"/>
              </w:rPr>
              <w:t>$</w:t>
            </w:r>
          </w:p>
        </w:tc>
        <w:tc>
          <w:tcPr>
            <w:tcW w:w="1300" w:type="dxa"/>
            <w:vAlign w:val="bottom"/>
          </w:tcPr>
          <w:p>
            <w:pPr>
              <w:jc w:val="right"/>
              <w:ind w:right="156"/>
              <w:spacing w:after="0"/>
              <w:rPr>
                <w:sz w:val="20"/>
                <w:szCs w:val="20"/>
                <w:color w:val="auto"/>
              </w:rPr>
            </w:pPr>
            <w:r>
              <w:rPr>
                <w:rFonts w:ascii="Arial" w:cs="Arial" w:eastAsia="Arial" w:hAnsi="Arial"/>
                <w:sz w:val="21"/>
                <w:szCs w:val="21"/>
                <w:color w:val="auto"/>
              </w:rPr>
              <w:t>3.01</w:t>
            </w:r>
          </w:p>
        </w:tc>
        <w:tc>
          <w:tcPr>
            <w:tcW w:w="1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43"/>
        </w:trPr>
        <w:tc>
          <w:tcPr>
            <w:tcW w:w="4700" w:type="dxa"/>
            <w:vAlign w:val="bottom"/>
            <w:shd w:val="clear" w:color="auto" w:fill="CCEEFF"/>
          </w:tcPr>
          <w:p>
            <w:pPr>
              <w:ind w:left="360"/>
              <w:spacing w:after="0"/>
              <w:rPr>
                <w:sz w:val="20"/>
                <w:szCs w:val="20"/>
                <w:color w:val="auto"/>
              </w:rPr>
            </w:pPr>
            <w:r>
              <w:rPr>
                <w:rFonts w:ascii="Arial" w:cs="Arial" w:eastAsia="Arial" w:hAnsi="Arial"/>
                <w:sz w:val="21"/>
                <w:szCs w:val="21"/>
                <w:color w:val="auto"/>
              </w:rPr>
              <w:t>Cancelled or forfeited</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21"/>
                <w:szCs w:val="21"/>
                <w:color w:val="auto"/>
              </w:rPr>
              <w:t>(135)</w:t>
            </w:r>
          </w:p>
        </w:tc>
        <w:tc>
          <w:tcPr>
            <w:tcW w:w="260" w:type="dxa"/>
            <w:vAlign w:val="bottom"/>
            <w:shd w:val="clear" w:color="auto" w:fill="CCEEFF"/>
          </w:tcPr>
          <w:p>
            <w:pPr>
              <w:jc w:val="right"/>
              <w:spacing w:after="0"/>
              <w:rPr>
                <w:sz w:val="20"/>
                <w:szCs w:val="20"/>
                <w:color w:val="auto"/>
              </w:rPr>
            </w:pPr>
            <w:r>
              <w:rPr>
                <w:rFonts w:ascii="Arial" w:cs="Arial" w:eastAsia="Arial" w:hAnsi="Arial"/>
                <w:sz w:val="21"/>
                <w:szCs w:val="21"/>
                <w:color w:val="auto"/>
              </w:rPr>
              <w:t>$</w:t>
            </w:r>
          </w:p>
        </w:tc>
        <w:tc>
          <w:tcPr>
            <w:tcW w:w="1300" w:type="dxa"/>
            <w:vAlign w:val="bottom"/>
            <w:shd w:val="clear" w:color="auto" w:fill="CCEEFF"/>
          </w:tcPr>
          <w:p>
            <w:pPr>
              <w:jc w:val="right"/>
              <w:ind w:right="156"/>
              <w:spacing w:after="0"/>
              <w:rPr>
                <w:sz w:val="20"/>
                <w:szCs w:val="20"/>
                <w:color w:val="auto"/>
              </w:rPr>
            </w:pPr>
            <w:r>
              <w:rPr>
                <w:rFonts w:ascii="Arial" w:cs="Arial" w:eastAsia="Arial" w:hAnsi="Arial"/>
                <w:sz w:val="21"/>
                <w:szCs w:val="21"/>
                <w:color w:val="auto"/>
              </w:rPr>
              <w:t>20.06</w:t>
            </w:r>
          </w:p>
        </w:tc>
        <w:tc>
          <w:tcPr>
            <w:tcW w:w="15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37"/>
        </w:trPr>
        <w:tc>
          <w:tcPr>
            <w:tcW w:w="4700" w:type="dxa"/>
            <w:vAlign w:val="bottom"/>
          </w:tcPr>
          <w:p>
            <w:pPr>
              <w:spacing w:after="0" w:line="237" w:lineRule="exact"/>
              <w:rPr>
                <w:sz w:val="20"/>
                <w:szCs w:val="20"/>
                <w:color w:val="auto"/>
              </w:rPr>
            </w:pPr>
            <w:r>
              <w:rPr>
                <w:rFonts w:ascii="Arial" w:cs="Arial" w:eastAsia="Arial" w:hAnsi="Arial"/>
                <w:sz w:val="21"/>
                <w:szCs w:val="21"/>
                <w:color w:val="auto"/>
              </w:rPr>
              <w:t>Outstanding at June 30, 2012</w:t>
            </w:r>
          </w:p>
        </w:tc>
        <w:tc>
          <w:tcPr>
            <w:tcW w:w="1360" w:type="dxa"/>
            <w:vAlign w:val="bottom"/>
            <w:tcBorders>
              <w:top w:val="single" w:sz="8" w:color="auto"/>
            </w:tcBorders>
          </w:tcPr>
          <w:p>
            <w:pPr>
              <w:jc w:val="right"/>
              <w:spacing w:after="0" w:line="237" w:lineRule="exact"/>
              <w:rPr>
                <w:sz w:val="20"/>
                <w:szCs w:val="20"/>
                <w:color w:val="auto"/>
              </w:rPr>
            </w:pPr>
            <w:r>
              <w:rPr>
                <w:rFonts w:ascii="Arial" w:cs="Arial" w:eastAsia="Arial" w:hAnsi="Arial"/>
                <w:sz w:val="21"/>
                <w:szCs w:val="21"/>
                <w:color w:val="auto"/>
              </w:rPr>
              <w:t>16,482</w:t>
            </w:r>
          </w:p>
        </w:tc>
        <w:tc>
          <w:tcPr>
            <w:tcW w:w="140" w:type="dxa"/>
            <w:vAlign w:val="bottom"/>
          </w:tcPr>
          <w:p>
            <w:pPr>
              <w:spacing w:after="0"/>
              <w:rPr>
                <w:sz w:val="20"/>
                <w:szCs w:val="20"/>
                <w:color w:val="auto"/>
              </w:rPr>
            </w:pPr>
          </w:p>
        </w:tc>
        <w:tc>
          <w:tcPr>
            <w:tcW w:w="260" w:type="dxa"/>
            <w:vAlign w:val="bottom"/>
          </w:tcPr>
          <w:p>
            <w:pPr>
              <w:jc w:val="right"/>
              <w:spacing w:after="0" w:line="237" w:lineRule="exact"/>
              <w:rPr>
                <w:sz w:val="20"/>
                <w:szCs w:val="20"/>
                <w:color w:val="auto"/>
              </w:rPr>
            </w:pPr>
            <w:r>
              <w:rPr>
                <w:rFonts w:ascii="Arial" w:cs="Arial" w:eastAsia="Arial" w:hAnsi="Arial"/>
                <w:sz w:val="21"/>
                <w:szCs w:val="21"/>
                <w:color w:val="auto"/>
              </w:rPr>
              <w:t>$</w:t>
            </w:r>
          </w:p>
        </w:tc>
        <w:tc>
          <w:tcPr>
            <w:tcW w:w="1300" w:type="dxa"/>
            <w:vAlign w:val="bottom"/>
          </w:tcPr>
          <w:p>
            <w:pPr>
              <w:jc w:val="right"/>
              <w:ind w:right="156"/>
              <w:spacing w:after="0" w:line="237" w:lineRule="exact"/>
              <w:rPr>
                <w:sz w:val="20"/>
                <w:szCs w:val="20"/>
                <w:color w:val="auto"/>
              </w:rPr>
            </w:pPr>
            <w:r>
              <w:rPr>
                <w:rFonts w:ascii="Arial" w:cs="Arial" w:eastAsia="Arial" w:hAnsi="Arial"/>
                <w:sz w:val="21"/>
                <w:szCs w:val="21"/>
                <w:color w:val="auto"/>
              </w:rPr>
              <w:t>9.78</w:t>
            </w:r>
          </w:p>
        </w:tc>
        <w:tc>
          <w:tcPr>
            <w:tcW w:w="1580" w:type="dxa"/>
            <w:vAlign w:val="bottom"/>
          </w:tcPr>
          <w:p>
            <w:pPr>
              <w:jc w:val="right"/>
              <w:ind w:right="36"/>
              <w:spacing w:after="0" w:line="237" w:lineRule="exact"/>
              <w:rPr>
                <w:sz w:val="20"/>
                <w:szCs w:val="20"/>
                <w:color w:val="auto"/>
              </w:rPr>
            </w:pPr>
            <w:r>
              <w:rPr>
                <w:rFonts w:ascii="Arial" w:cs="Arial" w:eastAsia="Arial" w:hAnsi="Arial"/>
                <w:sz w:val="21"/>
                <w:szCs w:val="21"/>
                <w:color w:val="auto"/>
              </w:rPr>
              <w:t>4.0</w:t>
            </w:r>
          </w:p>
        </w:tc>
        <w:tc>
          <w:tcPr>
            <w:tcW w:w="340" w:type="dxa"/>
            <w:vAlign w:val="bottom"/>
          </w:tcPr>
          <w:p>
            <w:pPr>
              <w:jc w:val="right"/>
              <w:spacing w:after="0" w:line="237" w:lineRule="exact"/>
              <w:rPr>
                <w:sz w:val="20"/>
                <w:szCs w:val="20"/>
                <w:color w:val="auto"/>
              </w:rPr>
            </w:pPr>
            <w:r>
              <w:rPr>
                <w:rFonts w:ascii="Arial" w:cs="Arial" w:eastAsia="Arial" w:hAnsi="Arial"/>
                <w:sz w:val="21"/>
                <w:szCs w:val="21"/>
                <w:color w:val="auto"/>
              </w:rPr>
              <w:t>$</w:t>
            </w:r>
          </w:p>
        </w:tc>
        <w:tc>
          <w:tcPr>
            <w:tcW w:w="1340" w:type="dxa"/>
            <w:vAlign w:val="bottom"/>
          </w:tcPr>
          <w:p>
            <w:pPr>
              <w:jc w:val="right"/>
              <w:ind w:right="16"/>
              <w:spacing w:after="0" w:line="237" w:lineRule="exact"/>
              <w:rPr>
                <w:sz w:val="20"/>
                <w:szCs w:val="20"/>
                <w:color w:val="auto"/>
              </w:rPr>
            </w:pPr>
            <w:r>
              <w:rPr>
                <w:rFonts w:ascii="Arial" w:cs="Arial" w:eastAsia="Arial" w:hAnsi="Arial"/>
                <w:sz w:val="21"/>
                <w:szCs w:val="21"/>
                <w:color w:val="auto"/>
              </w:rPr>
              <w:t>1,012,344</w:t>
            </w:r>
          </w:p>
        </w:tc>
      </w:tr>
      <w:tr>
        <w:trPr>
          <w:trHeight w:val="230"/>
        </w:trPr>
        <w:tc>
          <w:tcPr>
            <w:tcW w:w="4700" w:type="dxa"/>
            <w:vAlign w:val="bottom"/>
            <w:shd w:val="clear" w:color="auto" w:fill="CCEEFF"/>
          </w:tcPr>
          <w:p>
            <w:pPr>
              <w:spacing w:after="0" w:line="230" w:lineRule="exact"/>
              <w:rPr>
                <w:sz w:val="20"/>
                <w:szCs w:val="20"/>
                <w:color w:val="auto"/>
              </w:rPr>
            </w:pPr>
            <w:r>
              <w:rPr>
                <w:rFonts w:ascii="Arial" w:cs="Arial" w:eastAsia="Arial" w:hAnsi="Arial"/>
                <w:sz w:val="21"/>
                <w:szCs w:val="21"/>
                <w:color w:val="auto"/>
                <w:w w:val="95"/>
              </w:rPr>
              <w:t>Vested and expected to vest in the future at June 30,</w:t>
            </w:r>
          </w:p>
        </w:tc>
        <w:tc>
          <w:tcPr>
            <w:tcW w:w="1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56"/>
        </w:trPr>
        <w:tc>
          <w:tcPr>
            <w:tcW w:w="4700" w:type="dxa"/>
            <w:vAlign w:val="bottom"/>
            <w:shd w:val="clear" w:color="auto" w:fill="CCEEFF"/>
          </w:tcPr>
          <w:p>
            <w:pPr>
              <w:ind w:left="380"/>
              <w:spacing w:after="0"/>
              <w:rPr>
                <w:sz w:val="20"/>
                <w:szCs w:val="20"/>
                <w:color w:val="auto"/>
              </w:rPr>
            </w:pPr>
            <w:r>
              <w:rPr>
                <w:rFonts w:ascii="Arial" w:cs="Arial" w:eastAsia="Arial" w:hAnsi="Arial"/>
                <w:sz w:val="21"/>
                <w:szCs w:val="21"/>
                <w:color w:val="auto"/>
              </w:rPr>
              <w:t>2012</w:t>
            </w:r>
          </w:p>
        </w:tc>
        <w:tc>
          <w:tcPr>
            <w:tcW w:w="1360" w:type="dxa"/>
            <w:vAlign w:val="bottom"/>
            <w:shd w:val="clear" w:color="auto" w:fill="CCEEFF"/>
          </w:tcPr>
          <w:p>
            <w:pPr>
              <w:jc w:val="right"/>
              <w:spacing w:after="0"/>
              <w:rPr>
                <w:sz w:val="20"/>
                <w:szCs w:val="20"/>
                <w:color w:val="auto"/>
              </w:rPr>
            </w:pPr>
            <w:r>
              <w:rPr>
                <w:rFonts w:ascii="Arial" w:cs="Arial" w:eastAsia="Arial" w:hAnsi="Arial"/>
                <w:sz w:val="21"/>
                <w:szCs w:val="21"/>
                <w:color w:val="auto"/>
              </w:rPr>
              <w:t>15,953</w:t>
            </w: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21"/>
                <w:szCs w:val="21"/>
                <w:color w:val="auto"/>
              </w:rPr>
              <w:t>$</w:t>
            </w:r>
          </w:p>
        </w:tc>
        <w:tc>
          <w:tcPr>
            <w:tcW w:w="1300" w:type="dxa"/>
            <w:vAlign w:val="bottom"/>
            <w:shd w:val="clear" w:color="auto" w:fill="CCEEFF"/>
          </w:tcPr>
          <w:p>
            <w:pPr>
              <w:jc w:val="right"/>
              <w:ind w:right="156"/>
              <w:spacing w:after="0"/>
              <w:rPr>
                <w:sz w:val="20"/>
                <w:szCs w:val="20"/>
                <w:color w:val="auto"/>
              </w:rPr>
            </w:pPr>
            <w:r>
              <w:rPr>
                <w:rFonts w:ascii="Arial" w:cs="Arial" w:eastAsia="Arial" w:hAnsi="Arial"/>
                <w:sz w:val="21"/>
                <w:szCs w:val="21"/>
                <w:color w:val="auto"/>
              </w:rPr>
              <w:t>9.24</w:t>
            </w:r>
          </w:p>
        </w:tc>
        <w:tc>
          <w:tcPr>
            <w:tcW w:w="1580" w:type="dxa"/>
            <w:vAlign w:val="bottom"/>
            <w:shd w:val="clear" w:color="auto" w:fill="CCEEFF"/>
          </w:tcPr>
          <w:p>
            <w:pPr>
              <w:jc w:val="right"/>
              <w:ind w:right="36"/>
              <w:spacing w:after="0"/>
              <w:rPr>
                <w:sz w:val="20"/>
                <w:szCs w:val="20"/>
                <w:color w:val="auto"/>
              </w:rPr>
            </w:pPr>
            <w:r>
              <w:rPr>
                <w:rFonts w:ascii="Arial" w:cs="Arial" w:eastAsia="Arial" w:hAnsi="Arial"/>
                <w:sz w:val="21"/>
                <w:szCs w:val="21"/>
                <w:color w:val="auto"/>
              </w:rPr>
              <w:t>3.9</w:t>
            </w:r>
          </w:p>
        </w:tc>
        <w:tc>
          <w:tcPr>
            <w:tcW w:w="340" w:type="dxa"/>
            <w:vAlign w:val="bottom"/>
            <w:shd w:val="clear" w:color="auto" w:fill="CCEEFF"/>
          </w:tcPr>
          <w:p>
            <w:pPr>
              <w:jc w:val="right"/>
              <w:spacing w:after="0"/>
              <w:rPr>
                <w:sz w:val="20"/>
                <w:szCs w:val="20"/>
                <w:color w:val="auto"/>
              </w:rPr>
            </w:pPr>
            <w:r>
              <w:rPr>
                <w:rFonts w:ascii="Arial" w:cs="Arial" w:eastAsia="Arial" w:hAnsi="Arial"/>
                <w:sz w:val="21"/>
                <w:szCs w:val="21"/>
                <w:color w:val="auto"/>
              </w:rPr>
              <w:t>$</w:t>
            </w:r>
          </w:p>
        </w:tc>
        <w:tc>
          <w:tcPr>
            <w:tcW w:w="1340" w:type="dxa"/>
            <w:vAlign w:val="bottom"/>
            <w:shd w:val="clear" w:color="auto" w:fill="CCEEFF"/>
          </w:tcPr>
          <w:p>
            <w:pPr>
              <w:jc w:val="right"/>
              <w:ind w:right="16"/>
              <w:spacing w:after="0"/>
              <w:rPr>
                <w:sz w:val="20"/>
                <w:szCs w:val="20"/>
                <w:color w:val="auto"/>
              </w:rPr>
            </w:pPr>
            <w:r>
              <w:rPr>
                <w:rFonts w:ascii="Arial" w:cs="Arial" w:eastAsia="Arial" w:hAnsi="Arial"/>
                <w:sz w:val="21"/>
                <w:szCs w:val="21"/>
                <w:color w:val="auto"/>
              </w:rPr>
              <w:t>988,394</w:t>
            </w:r>
          </w:p>
        </w:tc>
      </w:tr>
      <w:tr>
        <w:trPr>
          <w:trHeight w:val="264"/>
        </w:trPr>
        <w:tc>
          <w:tcPr>
            <w:tcW w:w="4700" w:type="dxa"/>
            <w:vAlign w:val="bottom"/>
          </w:tcPr>
          <w:p>
            <w:pPr>
              <w:spacing w:after="0"/>
              <w:rPr>
                <w:sz w:val="20"/>
                <w:szCs w:val="20"/>
                <w:color w:val="auto"/>
              </w:rPr>
            </w:pPr>
            <w:r>
              <w:rPr>
                <w:rFonts w:ascii="Arial" w:cs="Arial" w:eastAsia="Arial" w:hAnsi="Arial"/>
                <w:sz w:val="21"/>
                <w:szCs w:val="21"/>
                <w:color w:val="auto"/>
              </w:rPr>
              <w:t>Exercisable at June 30, 2012</w:t>
            </w:r>
          </w:p>
        </w:tc>
        <w:tc>
          <w:tcPr>
            <w:tcW w:w="1360" w:type="dxa"/>
            <w:vAlign w:val="bottom"/>
          </w:tcPr>
          <w:p>
            <w:pPr>
              <w:jc w:val="right"/>
              <w:spacing w:after="0"/>
              <w:rPr>
                <w:sz w:val="20"/>
                <w:szCs w:val="20"/>
                <w:color w:val="auto"/>
              </w:rPr>
            </w:pPr>
            <w:r>
              <w:rPr>
                <w:rFonts w:ascii="Arial" w:cs="Arial" w:eastAsia="Arial" w:hAnsi="Arial"/>
                <w:sz w:val="21"/>
                <w:szCs w:val="21"/>
                <w:color w:val="auto"/>
              </w:rPr>
              <w:t>13,113</w:t>
            </w:r>
          </w:p>
        </w:tc>
        <w:tc>
          <w:tcPr>
            <w:tcW w:w="14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Arial" w:cs="Arial" w:eastAsia="Arial" w:hAnsi="Arial"/>
                <w:sz w:val="21"/>
                <w:szCs w:val="21"/>
                <w:color w:val="auto"/>
              </w:rPr>
              <w:t>$</w:t>
            </w:r>
          </w:p>
        </w:tc>
        <w:tc>
          <w:tcPr>
            <w:tcW w:w="1300" w:type="dxa"/>
            <w:vAlign w:val="bottom"/>
          </w:tcPr>
          <w:p>
            <w:pPr>
              <w:jc w:val="right"/>
              <w:ind w:right="156"/>
              <w:spacing w:after="0"/>
              <w:rPr>
                <w:sz w:val="20"/>
                <w:szCs w:val="20"/>
                <w:color w:val="auto"/>
              </w:rPr>
            </w:pPr>
            <w:r>
              <w:rPr>
                <w:rFonts w:ascii="Arial" w:cs="Arial" w:eastAsia="Arial" w:hAnsi="Arial"/>
                <w:sz w:val="21"/>
                <w:szCs w:val="21"/>
                <w:color w:val="auto"/>
              </w:rPr>
              <w:t>6.37</w:t>
            </w:r>
          </w:p>
        </w:tc>
        <w:tc>
          <w:tcPr>
            <w:tcW w:w="1580" w:type="dxa"/>
            <w:vAlign w:val="bottom"/>
          </w:tcPr>
          <w:p>
            <w:pPr>
              <w:jc w:val="right"/>
              <w:ind w:right="36"/>
              <w:spacing w:after="0"/>
              <w:rPr>
                <w:sz w:val="20"/>
                <w:szCs w:val="20"/>
                <w:color w:val="auto"/>
              </w:rPr>
            </w:pPr>
            <w:r>
              <w:rPr>
                <w:rFonts w:ascii="Arial" w:cs="Arial" w:eastAsia="Arial" w:hAnsi="Arial"/>
                <w:sz w:val="21"/>
                <w:szCs w:val="21"/>
                <w:color w:val="auto"/>
              </w:rPr>
              <w:t>3.1</w:t>
            </w:r>
          </w:p>
        </w:tc>
        <w:tc>
          <w:tcPr>
            <w:tcW w:w="340" w:type="dxa"/>
            <w:vAlign w:val="bottom"/>
          </w:tcPr>
          <w:p>
            <w:pPr>
              <w:jc w:val="right"/>
              <w:spacing w:after="0"/>
              <w:rPr>
                <w:sz w:val="20"/>
                <w:szCs w:val="20"/>
                <w:color w:val="auto"/>
              </w:rPr>
            </w:pPr>
            <w:r>
              <w:rPr>
                <w:rFonts w:ascii="Arial" w:cs="Arial" w:eastAsia="Arial" w:hAnsi="Arial"/>
                <w:sz w:val="21"/>
                <w:szCs w:val="21"/>
                <w:color w:val="auto"/>
              </w:rPr>
              <w:t>$</w:t>
            </w:r>
          </w:p>
        </w:tc>
        <w:tc>
          <w:tcPr>
            <w:tcW w:w="1340" w:type="dxa"/>
            <w:vAlign w:val="bottom"/>
          </w:tcPr>
          <w:p>
            <w:pPr>
              <w:jc w:val="right"/>
              <w:ind w:right="16"/>
              <w:spacing w:after="0"/>
              <w:rPr>
                <w:sz w:val="20"/>
                <w:szCs w:val="20"/>
                <w:color w:val="auto"/>
              </w:rPr>
            </w:pPr>
            <w:r>
              <w:rPr>
                <w:rFonts w:ascii="Arial" w:cs="Arial" w:eastAsia="Arial" w:hAnsi="Arial"/>
                <w:sz w:val="21"/>
                <w:szCs w:val="21"/>
                <w:color w:val="auto"/>
              </w:rPr>
              <w:t>850,109</w:t>
            </w:r>
          </w:p>
        </w:tc>
      </w:tr>
    </w:tbl>
    <w:p>
      <w:pPr>
        <w:spacing w:after="0" w:line="17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The weighted-average grant-date fair value of options granted during the three-months ended June 30, 2012 and 2011 was $28.88 per share and $17.78 per share, respectively. The weighted-average grant-date fair value of options granted during the six-months ended June 30, 2012 and 2011 was $26.68 per share and $16.56 per share, respectively. The total intrinsic value of options exercised during the three-months ended June 30, 2012 and 2011 was $12.3 million and $7.0 million, respectively. The total intrinsic value of options exercised during the six-months ended June 30, 2012 and 2011 was $119.7 million and $9.5 million, respectively.</w:t>
      </w:r>
    </w:p>
    <w:p>
      <w:pPr>
        <w:spacing w:after="0" w:line="21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Cash received from option exercises under all plans for the three-months ended June 30, 2012 and 2011 was approximately $3.7 million and $7.1 million, respectively. Cash received from option exercises under all plans for the six-months ended June 30, 2012 and 2011 was approximately $6.4 million and $11.3 million, respectively. The excess tax benefit realized for tax deductions from non-qualified stock option exercises and disqualifying dispositions of incentive stock options for the three-months ended June 30, 2012 and 2011 was $2.4 million and $1.0 million, respectively. The excess tax benefit realized for tax deductions from non-qualified stock option exercises and disqualifying dispositions of incentive stock options for the six-months ended June 30, 2012 and 2011 was $2.9 million and $1.1 million, respectively.</w:t>
      </w:r>
    </w:p>
    <w:p>
      <w:pPr>
        <w:spacing w:after="0" w:line="205" w:lineRule="exact"/>
        <w:rPr>
          <w:sz w:val="20"/>
          <w:szCs w:val="20"/>
          <w:color w:val="auto"/>
        </w:rPr>
      </w:pPr>
    </w:p>
    <w:p>
      <w:pPr>
        <w:jc w:val="both"/>
        <w:ind w:right="20" w:firstLine="648"/>
        <w:spacing w:after="0"/>
        <w:rPr>
          <w:sz w:val="20"/>
          <w:szCs w:val="20"/>
          <w:color w:val="auto"/>
        </w:rPr>
      </w:pPr>
      <w:r>
        <w:rPr>
          <w:rFonts w:ascii="Arial" w:cs="Arial" w:eastAsia="Arial" w:hAnsi="Arial"/>
          <w:sz w:val="22"/>
          <w:szCs w:val="22"/>
          <w:color w:val="auto"/>
        </w:rPr>
        <w:t>At June 30, 2012, there was $36.0 million of total unrecognized compensation expense related to non-vested options granted under the Company’s share-based payment plans. That cost is expected to be recognized over a weighted-average period of 2.5 years.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Restricted Stock Awards and Restricted Stock Units</w:t>
      </w:r>
    </w:p>
    <w:p>
      <w:pPr>
        <w:spacing w:after="0" w:line="23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Stock-based compensation cost for restricted stock awards and restricted stock units is measured based on the closing fair market value of the Company’s common stock at the date of grant. In the event that the Company has the option and intent to settle a restricted stock unit in cash, the award is classified as a liability and revalued at each balance sheet date. Total cash paid to settle restricted stock unit liabilities and the increase in the liabilities for future cash settlements during the six-months ended June 30, 2012 and the year ended December 31, 2011 were not material.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18" w:right="239" w:bottom="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MONSTER BEVERAGE CORPORATION AND SUBSIDIARIES</w:t>
      </w:r>
    </w:p>
    <w:p>
      <w:pPr>
        <w:sectPr>
          <w:pgSz w:w="11900" w:h="16838" w:orient="portrait"/>
          <w:cols w:equalWidth="0" w:num="1">
            <w:col w:w="11420"/>
          </w:cols>
          <w:pgMar w:left="240" w:top="118" w:right="239" w:bottom="0" w:gutter="0" w:footer="0" w:header="0"/>
          <w:type w:val="continuous"/>
        </w:sectPr>
      </w:pPr>
    </w:p>
    <w:bookmarkStart w:id="15" w:name="page16"/>
    <w:bookmarkEnd w:id="15"/>
    <w:p>
      <w:pPr>
        <w:ind w:right="4380"/>
        <w:spacing w:after="0" w:line="335"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19" w:lineRule="exact"/>
        <w:rPr>
          <w:sz w:val="20"/>
          <w:szCs w:val="20"/>
          <w:color w:val="auto"/>
        </w:rPr>
      </w:pPr>
    </w:p>
    <w:p>
      <w:pPr>
        <w:jc w:val="both"/>
        <w:ind w:right="60" w:firstLine="648"/>
        <w:spacing w:after="0" w:line="251" w:lineRule="auto"/>
        <w:rPr>
          <w:sz w:val="20"/>
          <w:szCs w:val="20"/>
          <w:color w:val="auto"/>
        </w:rPr>
      </w:pPr>
      <w:r>
        <w:rPr>
          <w:rFonts w:ascii="Arial" w:cs="Arial" w:eastAsia="Arial" w:hAnsi="Arial"/>
          <w:sz w:val="22"/>
          <w:szCs w:val="22"/>
          <w:color w:val="auto"/>
        </w:rPr>
        <w:t>The following table summarizes the Company’s activities with respect to non-vested restricted stock awards and non-vested restricted stock units as follows:</w:t>
      </w:r>
    </w:p>
    <w:p>
      <w:pPr>
        <w:spacing w:after="0" w:line="190" w:lineRule="exact"/>
        <w:rPr>
          <w:sz w:val="20"/>
          <w:szCs w:val="20"/>
          <w:color w:val="auto"/>
        </w:rPr>
      </w:pPr>
    </w:p>
    <w:tbl>
      <w:tblPr>
        <w:tblLayout w:type="fixed"/>
        <w:tblInd w:w="660" w:type="dxa"/>
        <w:tblCellMar>
          <w:top w:w="0" w:type="dxa"/>
          <w:left w:w="0" w:type="dxa"/>
          <w:bottom w:w="0" w:type="dxa"/>
          <w:right w:w="0" w:type="dxa"/>
        </w:tblCellMar>
      </w:tblPr>
      <w:tr>
        <w:trPr>
          <w:trHeight w:val="253"/>
        </w:trPr>
        <w:tc>
          <w:tcPr>
            <w:tcW w:w="54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center"/>
              <w:ind w:right="312"/>
              <w:spacing w:after="0"/>
              <w:rPr>
                <w:sz w:val="20"/>
                <w:szCs w:val="20"/>
                <w:color w:val="auto"/>
              </w:rPr>
            </w:pPr>
            <w:r>
              <w:rPr>
                <w:rFonts w:ascii="Arial" w:cs="Arial" w:eastAsia="Arial" w:hAnsi="Arial"/>
                <w:sz w:val="22"/>
                <w:szCs w:val="22"/>
                <w:color w:val="auto"/>
                <w:w w:val="89"/>
              </w:rPr>
              <w:t>Weighted-</w:t>
            </w:r>
          </w:p>
        </w:tc>
      </w:tr>
      <w:tr>
        <w:trPr>
          <w:trHeight w:val="243"/>
        </w:trPr>
        <w:tc>
          <w:tcPr>
            <w:tcW w:w="5400" w:type="dxa"/>
            <w:vAlign w:val="bottom"/>
          </w:tcPr>
          <w:p>
            <w:pPr>
              <w:spacing w:after="0"/>
              <w:rPr>
                <w:sz w:val="21"/>
                <w:szCs w:val="21"/>
                <w:color w:val="auto"/>
              </w:rPr>
            </w:pPr>
          </w:p>
        </w:tc>
        <w:tc>
          <w:tcPr>
            <w:tcW w:w="1640" w:type="dxa"/>
            <w:vAlign w:val="bottom"/>
          </w:tcPr>
          <w:p>
            <w:pPr>
              <w:jc w:val="center"/>
              <w:ind w:right="32"/>
              <w:spacing w:after="0" w:line="243" w:lineRule="exact"/>
              <w:rPr>
                <w:sz w:val="20"/>
                <w:szCs w:val="20"/>
                <w:color w:val="auto"/>
              </w:rPr>
            </w:pPr>
            <w:r>
              <w:rPr>
                <w:rFonts w:ascii="Arial" w:cs="Arial" w:eastAsia="Arial" w:hAnsi="Arial"/>
                <w:sz w:val="22"/>
                <w:szCs w:val="22"/>
                <w:color w:val="auto"/>
                <w:w w:val="91"/>
              </w:rPr>
              <w:t>Number of</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center"/>
              <w:ind w:right="292"/>
              <w:spacing w:after="0" w:line="243" w:lineRule="exact"/>
              <w:rPr>
                <w:sz w:val="20"/>
                <w:szCs w:val="20"/>
                <w:color w:val="auto"/>
              </w:rPr>
            </w:pPr>
            <w:r>
              <w:rPr>
                <w:rFonts w:ascii="Arial" w:cs="Arial" w:eastAsia="Arial" w:hAnsi="Arial"/>
                <w:sz w:val="22"/>
                <w:szCs w:val="22"/>
                <w:color w:val="auto"/>
                <w:w w:val="87"/>
              </w:rPr>
              <w:t>Average</w:t>
            </w:r>
          </w:p>
        </w:tc>
      </w:tr>
      <w:tr>
        <w:trPr>
          <w:trHeight w:val="243"/>
        </w:trPr>
        <w:tc>
          <w:tcPr>
            <w:tcW w:w="5400" w:type="dxa"/>
            <w:vAlign w:val="bottom"/>
          </w:tcPr>
          <w:p>
            <w:pPr>
              <w:spacing w:after="0"/>
              <w:rPr>
                <w:sz w:val="21"/>
                <w:szCs w:val="21"/>
                <w:color w:val="auto"/>
              </w:rPr>
            </w:pPr>
          </w:p>
        </w:tc>
        <w:tc>
          <w:tcPr>
            <w:tcW w:w="1640" w:type="dxa"/>
            <w:vAlign w:val="bottom"/>
          </w:tcPr>
          <w:p>
            <w:pPr>
              <w:jc w:val="center"/>
              <w:ind w:right="52"/>
              <w:spacing w:after="0" w:line="243" w:lineRule="exact"/>
              <w:rPr>
                <w:sz w:val="20"/>
                <w:szCs w:val="20"/>
                <w:color w:val="auto"/>
              </w:rPr>
            </w:pPr>
            <w:r>
              <w:rPr>
                <w:rFonts w:ascii="Arial" w:cs="Arial" w:eastAsia="Arial" w:hAnsi="Arial"/>
                <w:sz w:val="22"/>
                <w:szCs w:val="22"/>
                <w:color w:val="auto"/>
                <w:w w:val="87"/>
              </w:rPr>
              <w:t>Shares (in</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gridSpan w:val="2"/>
          </w:tcPr>
          <w:p>
            <w:pPr>
              <w:jc w:val="center"/>
              <w:ind w:right="32"/>
              <w:spacing w:after="0" w:line="243" w:lineRule="exact"/>
              <w:rPr>
                <w:sz w:val="20"/>
                <w:szCs w:val="20"/>
                <w:color w:val="auto"/>
              </w:rPr>
            </w:pPr>
            <w:r>
              <w:rPr>
                <w:rFonts w:ascii="Arial" w:cs="Arial" w:eastAsia="Arial" w:hAnsi="Arial"/>
                <w:sz w:val="22"/>
                <w:szCs w:val="22"/>
                <w:color w:val="auto"/>
                <w:w w:val="90"/>
              </w:rPr>
              <w:t>Grant-Date</w:t>
            </w:r>
          </w:p>
        </w:tc>
      </w:tr>
      <w:tr>
        <w:trPr>
          <w:trHeight w:val="265"/>
        </w:trPr>
        <w:tc>
          <w:tcPr>
            <w:tcW w:w="5400" w:type="dxa"/>
            <w:vAlign w:val="bottom"/>
            <w:tcBorders>
              <w:bottom w:val="single" w:sz="8" w:color="CCEEFF"/>
            </w:tcBorders>
          </w:tcPr>
          <w:p>
            <w:pPr>
              <w:spacing w:after="0"/>
              <w:rPr>
                <w:sz w:val="23"/>
                <w:szCs w:val="23"/>
                <w:color w:val="auto"/>
              </w:rPr>
            </w:pPr>
          </w:p>
        </w:tc>
        <w:tc>
          <w:tcPr>
            <w:tcW w:w="1640" w:type="dxa"/>
            <w:vAlign w:val="bottom"/>
            <w:tcBorders>
              <w:bottom w:val="single" w:sz="8" w:color="auto"/>
            </w:tcBorders>
          </w:tcPr>
          <w:p>
            <w:pPr>
              <w:jc w:val="center"/>
              <w:ind w:right="52"/>
              <w:spacing w:after="0"/>
              <w:rPr>
                <w:sz w:val="20"/>
                <w:szCs w:val="20"/>
                <w:color w:val="auto"/>
              </w:rPr>
            </w:pPr>
            <w:r>
              <w:rPr>
                <w:rFonts w:ascii="Arial" w:cs="Arial" w:eastAsia="Arial" w:hAnsi="Arial"/>
                <w:sz w:val="22"/>
                <w:szCs w:val="22"/>
                <w:color w:val="auto"/>
                <w:w w:val="84"/>
              </w:rPr>
              <w:t>thousands)</w:t>
            </w:r>
          </w:p>
        </w:tc>
        <w:tc>
          <w:tcPr>
            <w:tcW w:w="280" w:type="dxa"/>
            <w:vAlign w:val="bottom"/>
            <w:tcBorders>
              <w:bottom w:val="single" w:sz="8" w:color="auto"/>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center"/>
              <w:ind w:right="312"/>
              <w:spacing w:after="0"/>
              <w:rPr>
                <w:sz w:val="20"/>
                <w:szCs w:val="20"/>
                <w:color w:val="auto"/>
              </w:rPr>
            </w:pPr>
            <w:r>
              <w:rPr>
                <w:rFonts w:ascii="Arial" w:cs="Arial" w:eastAsia="Arial" w:hAnsi="Arial"/>
                <w:sz w:val="22"/>
                <w:szCs w:val="22"/>
                <w:color w:val="auto"/>
                <w:w w:val="89"/>
              </w:rPr>
              <w:t>Fair Value</w:t>
            </w:r>
          </w:p>
        </w:tc>
      </w:tr>
      <w:tr>
        <w:trPr>
          <w:trHeight w:val="237"/>
        </w:trPr>
        <w:tc>
          <w:tcPr>
            <w:tcW w:w="5400" w:type="dxa"/>
            <w:vAlign w:val="bottom"/>
            <w:shd w:val="clear" w:color="auto" w:fill="CCEEFF"/>
          </w:tcPr>
          <w:p>
            <w:pPr>
              <w:spacing w:after="0" w:line="237" w:lineRule="exact"/>
              <w:rPr>
                <w:sz w:val="20"/>
                <w:szCs w:val="20"/>
                <w:color w:val="auto"/>
              </w:rPr>
            </w:pPr>
            <w:r>
              <w:rPr>
                <w:rFonts w:ascii="Arial" w:cs="Arial" w:eastAsia="Arial" w:hAnsi="Arial"/>
                <w:sz w:val="22"/>
                <w:szCs w:val="22"/>
                <w:color w:val="auto"/>
              </w:rPr>
              <w:t>Non-vested at January 1, 2012</w:t>
            </w:r>
          </w:p>
        </w:tc>
        <w:tc>
          <w:tcPr>
            <w:tcW w:w="1640" w:type="dxa"/>
            <w:vAlign w:val="bottom"/>
            <w:shd w:val="clear" w:color="auto" w:fill="CCEEFF"/>
          </w:tcPr>
          <w:p>
            <w:pPr>
              <w:jc w:val="right"/>
              <w:ind w:right="52"/>
              <w:spacing w:after="0" w:line="237" w:lineRule="exact"/>
              <w:rPr>
                <w:sz w:val="20"/>
                <w:szCs w:val="20"/>
                <w:color w:val="auto"/>
              </w:rPr>
            </w:pPr>
            <w:r>
              <w:rPr>
                <w:rFonts w:ascii="Arial" w:cs="Arial" w:eastAsia="Arial" w:hAnsi="Arial"/>
                <w:sz w:val="22"/>
                <w:szCs w:val="22"/>
                <w:color w:val="auto"/>
              </w:rPr>
              <w:t>724</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rPr>
              <w:t>$</w:t>
            </w:r>
          </w:p>
        </w:tc>
        <w:tc>
          <w:tcPr>
            <w:tcW w:w="1320" w:type="dxa"/>
            <w:vAlign w:val="bottom"/>
            <w:shd w:val="clear" w:color="auto" w:fill="CCEEFF"/>
          </w:tcPr>
          <w:p>
            <w:pPr>
              <w:jc w:val="right"/>
              <w:ind w:right="12"/>
              <w:spacing w:after="0" w:line="237" w:lineRule="exact"/>
              <w:rPr>
                <w:sz w:val="20"/>
                <w:szCs w:val="20"/>
                <w:color w:val="auto"/>
              </w:rPr>
            </w:pPr>
            <w:r>
              <w:rPr>
                <w:rFonts w:ascii="Arial" w:cs="Arial" w:eastAsia="Arial" w:hAnsi="Arial"/>
                <w:sz w:val="22"/>
                <w:szCs w:val="22"/>
                <w:color w:val="auto"/>
              </w:rPr>
              <w:t>41.66</w:t>
            </w:r>
          </w:p>
        </w:tc>
      </w:tr>
      <w:tr>
        <w:trPr>
          <w:trHeight w:val="243"/>
        </w:trPr>
        <w:tc>
          <w:tcPr>
            <w:tcW w:w="5400" w:type="dxa"/>
            <w:vAlign w:val="bottom"/>
          </w:tcPr>
          <w:p>
            <w:pPr>
              <w:ind w:left="180"/>
              <w:spacing w:after="0" w:line="243" w:lineRule="exact"/>
              <w:rPr>
                <w:sz w:val="20"/>
                <w:szCs w:val="20"/>
                <w:color w:val="auto"/>
              </w:rPr>
            </w:pPr>
            <w:r>
              <w:rPr>
                <w:rFonts w:ascii="Arial" w:cs="Arial" w:eastAsia="Arial" w:hAnsi="Arial"/>
                <w:sz w:val="22"/>
                <w:szCs w:val="22"/>
                <w:color w:val="auto"/>
              </w:rPr>
              <w:t>Granted 01/01/12 - 03/31/12</w:t>
            </w:r>
          </w:p>
        </w:tc>
        <w:tc>
          <w:tcPr>
            <w:tcW w:w="1640" w:type="dxa"/>
            <w:vAlign w:val="bottom"/>
          </w:tcPr>
          <w:p>
            <w:pPr>
              <w:jc w:val="right"/>
              <w:ind w:right="52"/>
              <w:spacing w:after="0" w:line="243" w:lineRule="exact"/>
              <w:rPr>
                <w:sz w:val="20"/>
                <w:szCs w:val="20"/>
                <w:color w:val="auto"/>
              </w:rPr>
            </w:pPr>
            <w:r>
              <w:rPr>
                <w:rFonts w:ascii="Arial" w:cs="Arial" w:eastAsia="Arial" w:hAnsi="Arial"/>
                <w:sz w:val="22"/>
                <w:szCs w:val="22"/>
                <w:color w:val="auto"/>
              </w:rPr>
              <w:t>91</w:t>
            </w:r>
          </w:p>
        </w:tc>
        <w:tc>
          <w:tcPr>
            <w:tcW w:w="76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w:t>
            </w:r>
          </w:p>
        </w:tc>
        <w:tc>
          <w:tcPr>
            <w:tcW w:w="1320" w:type="dxa"/>
            <w:vAlign w:val="bottom"/>
          </w:tcPr>
          <w:p>
            <w:pPr>
              <w:jc w:val="right"/>
              <w:ind w:right="12"/>
              <w:spacing w:after="0" w:line="243" w:lineRule="exact"/>
              <w:rPr>
                <w:sz w:val="20"/>
                <w:szCs w:val="20"/>
                <w:color w:val="auto"/>
              </w:rPr>
            </w:pPr>
            <w:r>
              <w:rPr>
                <w:rFonts w:ascii="Arial" w:cs="Arial" w:eastAsia="Arial" w:hAnsi="Arial"/>
                <w:sz w:val="22"/>
                <w:szCs w:val="22"/>
                <w:color w:val="auto"/>
              </w:rPr>
              <w:t>57.45</w:t>
            </w:r>
          </w:p>
        </w:tc>
      </w:tr>
      <w:tr>
        <w:trPr>
          <w:trHeight w:val="243"/>
        </w:trPr>
        <w:tc>
          <w:tcPr>
            <w:tcW w:w="5400" w:type="dxa"/>
            <w:vAlign w:val="bottom"/>
            <w:shd w:val="clear" w:color="auto" w:fill="CCEEFF"/>
          </w:tcPr>
          <w:p>
            <w:pPr>
              <w:ind w:left="180"/>
              <w:spacing w:after="0" w:line="243" w:lineRule="exact"/>
              <w:rPr>
                <w:sz w:val="20"/>
                <w:szCs w:val="20"/>
                <w:color w:val="auto"/>
              </w:rPr>
            </w:pPr>
            <w:r>
              <w:rPr>
                <w:rFonts w:ascii="Arial" w:cs="Arial" w:eastAsia="Arial" w:hAnsi="Arial"/>
                <w:sz w:val="22"/>
                <w:szCs w:val="22"/>
                <w:color w:val="auto"/>
              </w:rPr>
              <w:t>Granted 04/01/12 - 06/30/12</w:t>
            </w:r>
          </w:p>
        </w:tc>
        <w:tc>
          <w:tcPr>
            <w:tcW w:w="1640" w:type="dxa"/>
            <w:vAlign w:val="bottom"/>
            <w:shd w:val="clear" w:color="auto" w:fill="CCEEFF"/>
          </w:tcPr>
          <w:p>
            <w:pPr>
              <w:jc w:val="right"/>
              <w:ind w:right="52"/>
              <w:spacing w:after="0" w:line="243" w:lineRule="exact"/>
              <w:rPr>
                <w:sz w:val="20"/>
                <w:szCs w:val="20"/>
                <w:color w:val="auto"/>
              </w:rPr>
            </w:pPr>
            <w:r>
              <w:rPr>
                <w:rFonts w:ascii="Arial" w:cs="Arial" w:eastAsia="Arial" w:hAnsi="Arial"/>
                <w:sz w:val="22"/>
                <w:szCs w:val="22"/>
                <w:color w:val="auto"/>
              </w:rPr>
              <w:t>60</w:t>
            </w:r>
          </w:p>
        </w:tc>
        <w:tc>
          <w:tcPr>
            <w:tcW w:w="760" w:type="dxa"/>
            <w:vAlign w:val="bottom"/>
            <w:gridSpan w:val="3"/>
            <w:shd w:val="clear" w:color="auto" w:fill="CCEEFF"/>
          </w:tcPr>
          <w:p>
            <w:pPr>
              <w:jc w:val="right"/>
              <w:spacing w:after="0" w:line="243" w:lineRule="exact"/>
              <w:rPr>
                <w:sz w:val="20"/>
                <w:szCs w:val="20"/>
                <w:color w:val="auto"/>
              </w:rPr>
            </w:pPr>
            <w:r>
              <w:rPr>
                <w:rFonts w:ascii="Arial" w:cs="Arial" w:eastAsia="Arial" w:hAnsi="Arial"/>
                <w:sz w:val="22"/>
                <w:szCs w:val="22"/>
                <w:color w:val="auto"/>
              </w:rPr>
              <w:t>$</w:t>
            </w:r>
          </w:p>
        </w:tc>
        <w:tc>
          <w:tcPr>
            <w:tcW w:w="1320" w:type="dxa"/>
            <w:vAlign w:val="bottom"/>
            <w:shd w:val="clear" w:color="auto" w:fill="CCEEFF"/>
          </w:tcPr>
          <w:p>
            <w:pPr>
              <w:jc w:val="right"/>
              <w:ind w:right="12"/>
              <w:spacing w:after="0" w:line="243" w:lineRule="exact"/>
              <w:rPr>
                <w:sz w:val="20"/>
                <w:szCs w:val="20"/>
                <w:color w:val="auto"/>
              </w:rPr>
            </w:pPr>
            <w:r>
              <w:rPr>
                <w:rFonts w:ascii="Arial" w:cs="Arial" w:eastAsia="Arial" w:hAnsi="Arial"/>
                <w:sz w:val="22"/>
                <w:szCs w:val="22"/>
                <w:color w:val="auto"/>
              </w:rPr>
              <w:t>69.98</w:t>
            </w:r>
          </w:p>
        </w:tc>
      </w:tr>
      <w:tr>
        <w:trPr>
          <w:trHeight w:val="243"/>
        </w:trPr>
        <w:tc>
          <w:tcPr>
            <w:tcW w:w="5400" w:type="dxa"/>
            <w:vAlign w:val="bottom"/>
          </w:tcPr>
          <w:p>
            <w:pPr>
              <w:ind w:left="180"/>
              <w:spacing w:after="0" w:line="243" w:lineRule="exact"/>
              <w:rPr>
                <w:sz w:val="20"/>
                <w:szCs w:val="20"/>
                <w:color w:val="auto"/>
              </w:rPr>
            </w:pPr>
            <w:r>
              <w:rPr>
                <w:rFonts w:ascii="Arial" w:cs="Arial" w:eastAsia="Arial" w:hAnsi="Arial"/>
                <w:sz w:val="22"/>
                <w:szCs w:val="22"/>
                <w:color w:val="auto"/>
              </w:rPr>
              <w:t>Vested</w:t>
            </w:r>
          </w:p>
        </w:tc>
        <w:tc>
          <w:tcPr>
            <w:tcW w:w="1640" w:type="dxa"/>
            <w:vAlign w:val="bottom"/>
          </w:tcPr>
          <w:p>
            <w:pPr>
              <w:jc w:val="right"/>
              <w:spacing w:after="0" w:line="243" w:lineRule="exact"/>
              <w:rPr>
                <w:sz w:val="20"/>
                <w:szCs w:val="20"/>
                <w:color w:val="auto"/>
              </w:rPr>
            </w:pPr>
            <w:r>
              <w:rPr>
                <w:rFonts w:ascii="Arial" w:cs="Arial" w:eastAsia="Arial" w:hAnsi="Arial"/>
                <w:sz w:val="22"/>
                <w:szCs w:val="22"/>
                <w:color w:val="auto"/>
              </w:rPr>
              <w:t>(26)</w:t>
            </w:r>
          </w:p>
        </w:tc>
        <w:tc>
          <w:tcPr>
            <w:tcW w:w="76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w:t>
            </w:r>
          </w:p>
        </w:tc>
        <w:tc>
          <w:tcPr>
            <w:tcW w:w="1320" w:type="dxa"/>
            <w:vAlign w:val="bottom"/>
          </w:tcPr>
          <w:p>
            <w:pPr>
              <w:jc w:val="right"/>
              <w:ind w:right="12"/>
              <w:spacing w:after="0" w:line="243" w:lineRule="exact"/>
              <w:rPr>
                <w:sz w:val="20"/>
                <w:szCs w:val="20"/>
                <w:color w:val="auto"/>
              </w:rPr>
            </w:pPr>
            <w:r>
              <w:rPr>
                <w:rFonts w:ascii="Arial" w:cs="Arial" w:eastAsia="Arial" w:hAnsi="Arial"/>
                <w:sz w:val="22"/>
                <w:szCs w:val="22"/>
                <w:color w:val="auto"/>
              </w:rPr>
              <w:t>35.60</w:t>
            </w:r>
          </w:p>
        </w:tc>
      </w:tr>
      <w:tr>
        <w:trPr>
          <w:trHeight w:val="243"/>
        </w:trPr>
        <w:tc>
          <w:tcPr>
            <w:tcW w:w="5400" w:type="dxa"/>
            <w:vAlign w:val="bottom"/>
            <w:shd w:val="clear" w:color="auto" w:fill="CCEEFF"/>
          </w:tcPr>
          <w:p>
            <w:pPr>
              <w:ind w:left="180"/>
              <w:spacing w:after="0" w:line="243" w:lineRule="exact"/>
              <w:rPr>
                <w:sz w:val="20"/>
                <w:szCs w:val="20"/>
                <w:color w:val="auto"/>
              </w:rPr>
            </w:pPr>
            <w:r>
              <w:rPr>
                <w:rFonts w:ascii="Arial" w:cs="Arial" w:eastAsia="Arial" w:hAnsi="Arial"/>
                <w:sz w:val="22"/>
                <w:szCs w:val="22"/>
                <w:color w:val="auto"/>
              </w:rPr>
              <w:t>Forfeited/cancelled</w:t>
            </w:r>
          </w:p>
        </w:tc>
        <w:tc>
          <w:tcPr>
            <w:tcW w:w="1640" w:type="dxa"/>
            <w:vAlign w:val="bottom"/>
            <w:tcBorders>
              <w:bottom w:val="single" w:sz="8" w:color="auto"/>
            </w:tcBorders>
            <w:shd w:val="clear" w:color="auto" w:fill="CCEEFF"/>
          </w:tcPr>
          <w:p>
            <w:pPr>
              <w:jc w:val="right"/>
              <w:ind w:right="52"/>
              <w:spacing w:after="0" w:line="243" w:lineRule="exact"/>
              <w:rPr>
                <w:sz w:val="20"/>
                <w:szCs w:val="20"/>
                <w:color w:val="auto"/>
              </w:rPr>
            </w:pPr>
            <w:r>
              <w:rPr>
                <w:rFonts w:ascii="Arial" w:cs="Arial" w:eastAsia="Arial" w:hAnsi="Arial"/>
                <w:sz w:val="22"/>
                <w:szCs w:val="22"/>
                <w:color w:val="auto"/>
              </w:rPr>
              <w:t>-</w:t>
            </w:r>
          </w:p>
        </w:tc>
        <w:tc>
          <w:tcPr>
            <w:tcW w:w="760" w:type="dxa"/>
            <w:vAlign w:val="bottom"/>
            <w:gridSpan w:val="3"/>
            <w:shd w:val="clear" w:color="auto" w:fill="CCEEFF"/>
          </w:tcPr>
          <w:p>
            <w:pPr>
              <w:jc w:val="right"/>
              <w:spacing w:after="0" w:line="243" w:lineRule="exact"/>
              <w:rPr>
                <w:sz w:val="20"/>
                <w:szCs w:val="20"/>
                <w:color w:val="auto"/>
              </w:rPr>
            </w:pPr>
            <w:r>
              <w:rPr>
                <w:rFonts w:ascii="Arial" w:cs="Arial" w:eastAsia="Arial" w:hAnsi="Arial"/>
                <w:sz w:val="22"/>
                <w:szCs w:val="22"/>
                <w:color w:val="auto"/>
              </w:rPr>
              <w:t>$</w:t>
            </w:r>
          </w:p>
        </w:tc>
        <w:tc>
          <w:tcPr>
            <w:tcW w:w="1320" w:type="dxa"/>
            <w:vAlign w:val="bottom"/>
            <w:shd w:val="clear" w:color="auto" w:fill="CCEEFF"/>
          </w:tcPr>
          <w:p>
            <w:pPr>
              <w:jc w:val="right"/>
              <w:ind w:right="192"/>
              <w:spacing w:after="0" w:line="243" w:lineRule="exact"/>
              <w:rPr>
                <w:sz w:val="20"/>
                <w:szCs w:val="20"/>
                <w:color w:val="auto"/>
              </w:rPr>
            </w:pPr>
            <w:r>
              <w:rPr>
                <w:rFonts w:ascii="Arial" w:cs="Arial" w:eastAsia="Arial" w:hAnsi="Arial"/>
                <w:sz w:val="22"/>
                <w:szCs w:val="22"/>
                <w:color w:val="auto"/>
              </w:rPr>
              <w:t>-</w:t>
            </w:r>
          </w:p>
        </w:tc>
      </w:tr>
      <w:tr>
        <w:trPr>
          <w:trHeight w:val="237"/>
        </w:trPr>
        <w:tc>
          <w:tcPr>
            <w:tcW w:w="5400" w:type="dxa"/>
            <w:vAlign w:val="bottom"/>
          </w:tcPr>
          <w:p>
            <w:pPr>
              <w:spacing w:after="0" w:line="237" w:lineRule="exact"/>
              <w:rPr>
                <w:sz w:val="20"/>
                <w:szCs w:val="20"/>
                <w:color w:val="auto"/>
              </w:rPr>
            </w:pPr>
            <w:r>
              <w:rPr>
                <w:rFonts w:ascii="Arial" w:cs="Arial" w:eastAsia="Arial" w:hAnsi="Arial"/>
                <w:sz w:val="22"/>
                <w:szCs w:val="22"/>
                <w:color w:val="auto"/>
              </w:rPr>
              <w:t>Non-vested at June 30, 2012</w:t>
            </w:r>
          </w:p>
        </w:tc>
        <w:tc>
          <w:tcPr>
            <w:tcW w:w="1640" w:type="dxa"/>
            <w:vAlign w:val="bottom"/>
            <w:tcBorders>
              <w:bottom w:val="single" w:sz="8" w:color="auto"/>
            </w:tcBorders>
          </w:tcPr>
          <w:p>
            <w:pPr>
              <w:jc w:val="right"/>
              <w:ind w:right="52"/>
              <w:spacing w:after="0" w:line="237" w:lineRule="exact"/>
              <w:rPr>
                <w:sz w:val="20"/>
                <w:szCs w:val="20"/>
                <w:color w:val="auto"/>
              </w:rPr>
            </w:pPr>
            <w:r>
              <w:rPr>
                <w:rFonts w:ascii="Arial" w:cs="Arial" w:eastAsia="Arial" w:hAnsi="Arial"/>
                <w:sz w:val="22"/>
                <w:szCs w:val="22"/>
                <w:color w:val="auto"/>
              </w:rPr>
              <w:t>849</w:t>
            </w:r>
          </w:p>
        </w:tc>
        <w:tc>
          <w:tcPr>
            <w:tcW w:w="760" w:type="dxa"/>
            <w:vAlign w:val="bottom"/>
            <w:gridSpan w:val="3"/>
          </w:tcPr>
          <w:p>
            <w:pPr>
              <w:jc w:val="right"/>
              <w:spacing w:after="0" w:line="237" w:lineRule="exact"/>
              <w:rPr>
                <w:sz w:val="20"/>
                <w:szCs w:val="20"/>
                <w:color w:val="auto"/>
              </w:rPr>
            </w:pPr>
            <w:r>
              <w:rPr>
                <w:rFonts w:ascii="Arial" w:cs="Arial" w:eastAsia="Arial" w:hAnsi="Arial"/>
                <w:sz w:val="22"/>
                <w:szCs w:val="22"/>
                <w:color w:val="auto"/>
              </w:rPr>
              <w:t>$</w:t>
            </w:r>
          </w:p>
        </w:tc>
        <w:tc>
          <w:tcPr>
            <w:tcW w:w="1320" w:type="dxa"/>
            <w:vAlign w:val="bottom"/>
          </w:tcPr>
          <w:p>
            <w:pPr>
              <w:jc w:val="right"/>
              <w:ind w:right="12"/>
              <w:spacing w:after="0" w:line="237" w:lineRule="exact"/>
              <w:rPr>
                <w:sz w:val="20"/>
                <w:szCs w:val="20"/>
                <w:color w:val="auto"/>
              </w:rPr>
            </w:pPr>
            <w:r>
              <w:rPr>
                <w:rFonts w:ascii="Arial" w:cs="Arial" w:eastAsia="Arial" w:hAnsi="Arial"/>
                <w:sz w:val="22"/>
                <w:szCs w:val="22"/>
                <w:color w:val="auto"/>
              </w:rPr>
              <w:t>45.55</w:t>
            </w:r>
          </w:p>
        </w:tc>
      </w:tr>
      <w:tr>
        <w:trPr>
          <w:trHeight w:val="20"/>
        </w:trPr>
        <w:tc>
          <w:tcPr>
            <w:tcW w:w="54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right="40" w:firstLine="648"/>
        <w:spacing w:after="0" w:line="236" w:lineRule="auto"/>
        <w:rPr>
          <w:sz w:val="20"/>
          <w:szCs w:val="20"/>
          <w:color w:val="auto"/>
        </w:rPr>
      </w:pPr>
      <w:r>
        <w:rPr>
          <w:rFonts w:ascii="Arial" w:cs="Arial" w:eastAsia="Arial" w:hAnsi="Arial"/>
          <w:sz w:val="22"/>
          <w:szCs w:val="22"/>
          <w:color w:val="auto"/>
        </w:rPr>
        <w:t>The weighted-average grant-date fair value of restricted stock units and restricted stock awards granted during the three-months ended June 30, 2012 and 2011 was $69.98 and $35.88, respectively. The weighted-average grant-date fair value of restricted stock units and restricted stock awards granted during the six-months ended June 30, 2012 and 2011 was $62.47 and $35.88, respectively. As of June 30, 2012, 0.7 million restricted stock units and restricted stock awards are expected to vest in the future.</w:t>
      </w:r>
    </w:p>
    <w:p>
      <w:pPr>
        <w:spacing w:after="0" w:line="215" w:lineRule="exact"/>
        <w:rPr>
          <w:sz w:val="20"/>
          <w:szCs w:val="20"/>
          <w:color w:val="auto"/>
        </w:rPr>
      </w:pPr>
    </w:p>
    <w:p>
      <w:pPr>
        <w:jc w:val="both"/>
        <w:ind w:right="40" w:firstLine="648"/>
        <w:spacing w:after="0" w:line="328" w:lineRule="auto"/>
        <w:rPr>
          <w:sz w:val="20"/>
          <w:szCs w:val="20"/>
          <w:color w:val="auto"/>
        </w:rPr>
      </w:pPr>
      <w:r>
        <w:rPr>
          <w:rFonts w:ascii="Arial" w:cs="Arial" w:eastAsia="Arial" w:hAnsi="Arial"/>
          <w:sz w:val="19"/>
          <w:szCs w:val="19"/>
          <w:color w:val="auto"/>
        </w:rPr>
        <w:t>At June 30, 2012, total unrecognized compensation expense relating to non-vested restricted stock awards and non-vested restricted stock units was $29.9 million, which is expected to be recognized over a weighted-average period of 2.2 years.</w:t>
      </w:r>
    </w:p>
    <w:p>
      <w:pPr>
        <w:spacing w:after="0" w:line="132"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22"/>
          <w:szCs w:val="22"/>
          <w:color w:val="auto"/>
        </w:rPr>
      </w:pPr>
      <w:r>
        <w:rPr>
          <w:rFonts w:ascii="Arial" w:cs="Arial" w:eastAsia="Arial" w:hAnsi="Arial"/>
          <w:sz w:val="22"/>
          <w:szCs w:val="22"/>
          <w:color w:val="auto"/>
        </w:rPr>
        <w:t>INCOME TAXES</w:t>
      </w:r>
    </w:p>
    <w:p>
      <w:pPr>
        <w:spacing w:after="0" w:line="233" w:lineRule="exact"/>
        <w:rPr>
          <w:sz w:val="20"/>
          <w:szCs w:val="20"/>
          <w:color w:val="auto"/>
        </w:rPr>
      </w:pPr>
    </w:p>
    <w:p>
      <w:pPr>
        <w:jc w:val="both"/>
        <w:ind w:right="40" w:firstLine="648"/>
        <w:spacing w:after="0" w:line="251" w:lineRule="auto"/>
        <w:rPr>
          <w:sz w:val="20"/>
          <w:szCs w:val="20"/>
          <w:color w:val="auto"/>
        </w:rPr>
      </w:pPr>
      <w:r>
        <w:rPr>
          <w:rFonts w:ascii="Arial" w:cs="Arial" w:eastAsia="Arial" w:hAnsi="Arial"/>
          <w:sz w:val="22"/>
          <w:szCs w:val="22"/>
          <w:color w:val="auto"/>
        </w:rPr>
        <w:t>The following is a roll-forward of the Company’s total gross unrecognized tax benefits, not including interest and penalties, for the six-months ended June 30, 2012:</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0" w:type="dxa"/>
            <w:vAlign w:val="bottom"/>
          </w:tcPr>
          <w:p>
            <w:pPr>
              <w:jc w:val="right"/>
              <w:ind w:right="342"/>
              <w:spacing w:after="0"/>
              <w:rPr>
                <w:sz w:val="20"/>
                <w:szCs w:val="20"/>
                <w:color w:val="auto"/>
              </w:rPr>
            </w:pPr>
            <w:r>
              <w:rPr>
                <w:rFonts w:ascii="Arial" w:cs="Arial" w:eastAsia="Arial" w:hAnsi="Arial"/>
                <w:sz w:val="20"/>
                <w:szCs w:val="20"/>
                <w:b w:val="1"/>
                <w:bCs w:val="1"/>
                <w:color w:val="auto"/>
                <w:w w:val="94"/>
              </w:rPr>
              <w:t>Gross Unrealized Tax</w:t>
            </w:r>
          </w:p>
        </w:tc>
        <w:tc>
          <w:tcPr>
            <w:tcW w:w="3640" w:type="dxa"/>
            <w:vAlign w:val="bottom"/>
          </w:tcPr>
          <w:p>
            <w:pPr>
              <w:spacing w:after="0"/>
              <w:rPr>
                <w:sz w:val="19"/>
                <w:szCs w:val="19"/>
                <w:color w:val="auto"/>
              </w:rPr>
            </w:pPr>
          </w:p>
        </w:tc>
      </w:tr>
      <w:tr>
        <w:trPr>
          <w:trHeight w:val="252"/>
        </w:trPr>
        <w:tc>
          <w:tcPr>
            <w:tcW w:w="980" w:type="dxa"/>
            <w:vAlign w:val="bottom"/>
          </w:tcPr>
          <w:p>
            <w:pPr>
              <w:spacing w:after="0"/>
              <w:rPr>
                <w:sz w:val="21"/>
                <w:szCs w:val="21"/>
                <w:color w:val="auto"/>
              </w:rPr>
            </w:pPr>
          </w:p>
        </w:tc>
        <w:tc>
          <w:tcPr>
            <w:tcW w:w="41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tcPr>
          <w:p>
            <w:pPr>
              <w:jc w:val="right"/>
              <w:ind w:right="902"/>
              <w:spacing w:after="0"/>
              <w:rPr>
                <w:sz w:val="20"/>
                <w:szCs w:val="20"/>
                <w:color w:val="auto"/>
              </w:rPr>
            </w:pPr>
            <w:r>
              <w:rPr>
                <w:rFonts w:ascii="Arial" w:cs="Arial" w:eastAsia="Arial" w:hAnsi="Arial"/>
                <w:sz w:val="20"/>
                <w:szCs w:val="20"/>
                <w:b w:val="1"/>
                <w:bCs w:val="1"/>
                <w:color w:val="auto"/>
              </w:rPr>
              <w:t>Benefits</w:t>
            </w:r>
          </w:p>
        </w:tc>
        <w:tc>
          <w:tcPr>
            <w:tcW w:w="3640" w:type="dxa"/>
            <w:vAlign w:val="bottom"/>
          </w:tcPr>
          <w:p>
            <w:pPr>
              <w:spacing w:after="0"/>
              <w:rPr>
                <w:sz w:val="21"/>
                <w:szCs w:val="21"/>
                <w:color w:val="auto"/>
              </w:rPr>
            </w:pPr>
          </w:p>
        </w:tc>
      </w:tr>
      <w:tr>
        <w:trPr>
          <w:trHeight w:val="223"/>
        </w:trPr>
        <w:tc>
          <w:tcPr>
            <w:tcW w:w="980" w:type="dxa"/>
            <w:vAlign w:val="bottom"/>
          </w:tcPr>
          <w:p>
            <w:pPr>
              <w:spacing w:after="0"/>
              <w:rPr>
                <w:sz w:val="19"/>
                <w:szCs w:val="19"/>
                <w:color w:val="auto"/>
              </w:rPr>
            </w:pPr>
          </w:p>
        </w:tc>
        <w:tc>
          <w:tcPr>
            <w:tcW w:w="4140" w:type="dxa"/>
            <w:vAlign w:val="bottom"/>
            <w:shd w:val="clear" w:color="auto" w:fill="CCEEFF"/>
          </w:tcPr>
          <w:p>
            <w:pPr>
              <w:spacing w:after="0" w:line="223" w:lineRule="exact"/>
              <w:rPr>
                <w:sz w:val="20"/>
                <w:szCs w:val="20"/>
                <w:color w:val="auto"/>
              </w:rPr>
            </w:pPr>
            <w:r>
              <w:rPr>
                <w:rFonts w:ascii="Arial" w:cs="Arial" w:eastAsia="Arial" w:hAnsi="Arial"/>
                <w:sz w:val="20"/>
                <w:szCs w:val="20"/>
                <w:b w:val="1"/>
                <w:bCs w:val="1"/>
                <w:color w:val="auto"/>
              </w:rPr>
              <w:t>Balance at December 31, 2011</w:t>
            </w:r>
          </w:p>
        </w:tc>
        <w:tc>
          <w:tcPr>
            <w:tcW w:w="300" w:type="dxa"/>
            <w:vAlign w:val="bottom"/>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2400" w:type="dxa"/>
            <w:vAlign w:val="bottom"/>
            <w:shd w:val="clear" w:color="auto" w:fill="CCEEFF"/>
          </w:tcPr>
          <w:p>
            <w:pPr>
              <w:jc w:val="right"/>
              <w:ind w:right="22"/>
              <w:spacing w:after="0" w:line="223" w:lineRule="exact"/>
              <w:rPr>
                <w:sz w:val="20"/>
                <w:szCs w:val="20"/>
                <w:color w:val="auto"/>
              </w:rPr>
            </w:pPr>
            <w:r>
              <w:rPr>
                <w:rFonts w:ascii="Arial" w:cs="Arial" w:eastAsia="Arial" w:hAnsi="Arial"/>
                <w:sz w:val="20"/>
                <w:szCs w:val="20"/>
                <w:color w:val="auto"/>
              </w:rPr>
              <w:t>1,910</w:t>
            </w:r>
          </w:p>
        </w:tc>
        <w:tc>
          <w:tcPr>
            <w:tcW w:w="3640" w:type="dxa"/>
            <w:vAlign w:val="bottom"/>
          </w:tcPr>
          <w:p>
            <w:pPr>
              <w:spacing w:after="0"/>
              <w:rPr>
                <w:sz w:val="19"/>
                <w:szCs w:val="19"/>
                <w:color w:val="auto"/>
              </w:rPr>
            </w:pPr>
          </w:p>
        </w:tc>
      </w:tr>
      <w:tr>
        <w:trPr>
          <w:trHeight w:val="213"/>
        </w:trPr>
        <w:tc>
          <w:tcPr>
            <w:tcW w:w="980" w:type="dxa"/>
            <w:vAlign w:val="bottom"/>
          </w:tcPr>
          <w:p>
            <w:pPr>
              <w:spacing w:after="0"/>
              <w:rPr>
                <w:sz w:val="18"/>
                <w:szCs w:val="18"/>
                <w:color w:val="auto"/>
              </w:rPr>
            </w:pPr>
          </w:p>
        </w:tc>
        <w:tc>
          <w:tcPr>
            <w:tcW w:w="4140" w:type="dxa"/>
            <w:vAlign w:val="bottom"/>
          </w:tcPr>
          <w:p>
            <w:pPr>
              <w:spacing w:after="0" w:line="213" w:lineRule="exact"/>
              <w:rPr>
                <w:sz w:val="20"/>
                <w:szCs w:val="20"/>
                <w:color w:val="auto"/>
              </w:rPr>
            </w:pPr>
            <w:r>
              <w:rPr>
                <w:rFonts w:ascii="Arial" w:cs="Arial" w:eastAsia="Arial" w:hAnsi="Arial"/>
                <w:sz w:val="20"/>
                <w:szCs w:val="20"/>
                <w:color w:val="auto"/>
                <w:w w:val="98"/>
              </w:rPr>
              <w:t>Additions for tax positions related to the current</w:t>
            </w:r>
          </w:p>
        </w:tc>
        <w:tc>
          <w:tcPr>
            <w:tcW w:w="3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246"/>
        </w:trPr>
        <w:tc>
          <w:tcPr>
            <w:tcW w:w="980" w:type="dxa"/>
            <w:vAlign w:val="bottom"/>
          </w:tcPr>
          <w:p>
            <w:pPr>
              <w:spacing w:after="0"/>
              <w:rPr>
                <w:sz w:val="21"/>
                <w:szCs w:val="21"/>
                <w:color w:val="auto"/>
              </w:rPr>
            </w:pPr>
          </w:p>
        </w:tc>
        <w:tc>
          <w:tcPr>
            <w:tcW w:w="4140" w:type="dxa"/>
            <w:vAlign w:val="bottom"/>
          </w:tcPr>
          <w:p>
            <w:pPr>
              <w:ind w:left="180"/>
              <w:spacing w:after="0"/>
              <w:rPr>
                <w:sz w:val="20"/>
                <w:szCs w:val="20"/>
                <w:color w:val="auto"/>
              </w:rPr>
            </w:pPr>
            <w:r>
              <w:rPr>
                <w:rFonts w:ascii="Arial" w:cs="Arial" w:eastAsia="Arial" w:hAnsi="Arial"/>
                <w:sz w:val="20"/>
                <w:szCs w:val="20"/>
                <w:color w:val="auto"/>
              </w:rPr>
              <w:t>year</w:t>
            </w:r>
          </w:p>
        </w:tc>
        <w:tc>
          <w:tcPr>
            <w:tcW w:w="300" w:type="dxa"/>
            <w:vAlign w:val="bottom"/>
          </w:tcPr>
          <w:p>
            <w:pPr>
              <w:spacing w:after="0"/>
              <w:rPr>
                <w:sz w:val="21"/>
                <w:szCs w:val="21"/>
                <w:color w:val="auto"/>
              </w:rPr>
            </w:pPr>
          </w:p>
        </w:tc>
        <w:tc>
          <w:tcPr>
            <w:tcW w:w="2400" w:type="dxa"/>
            <w:vAlign w:val="bottom"/>
          </w:tcPr>
          <w:p>
            <w:pPr>
              <w:jc w:val="right"/>
              <w:ind w:right="22"/>
              <w:spacing w:after="0"/>
              <w:rPr>
                <w:sz w:val="20"/>
                <w:szCs w:val="20"/>
                <w:color w:val="auto"/>
              </w:rPr>
            </w:pPr>
            <w:r>
              <w:rPr>
                <w:rFonts w:ascii="Arial" w:cs="Arial" w:eastAsia="Arial" w:hAnsi="Arial"/>
                <w:sz w:val="20"/>
                <w:szCs w:val="20"/>
                <w:color w:val="auto"/>
              </w:rPr>
              <w:t>-</w:t>
            </w:r>
          </w:p>
        </w:tc>
        <w:tc>
          <w:tcPr>
            <w:tcW w:w="3640" w:type="dxa"/>
            <w:vAlign w:val="bottom"/>
          </w:tcPr>
          <w:p>
            <w:pPr>
              <w:spacing w:after="0"/>
              <w:rPr>
                <w:sz w:val="21"/>
                <w:szCs w:val="21"/>
                <w:color w:val="auto"/>
              </w:rPr>
            </w:pPr>
          </w:p>
        </w:tc>
      </w:tr>
      <w:tr>
        <w:trPr>
          <w:trHeight w:val="213"/>
        </w:trPr>
        <w:tc>
          <w:tcPr>
            <w:tcW w:w="980" w:type="dxa"/>
            <w:vAlign w:val="bottom"/>
          </w:tcPr>
          <w:p>
            <w:pPr>
              <w:spacing w:after="0"/>
              <w:rPr>
                <w:sz w:val="18"/>
                <w:szCs w:val="18"/>
                <w:color w:val="auto"/>
              </w:rPr>
            </w:pPr>
          </w:p>
        </w:tc>
        <w:tc>
          <w:tcPr>
            <w:tcW w:w="4140" w:type="dxa"/>
            <w:vAlign w:val="bottom"/>
            <w:shd w:val="clear" w:color="auto" w:fill="CCEEFF"/>
          </w:tcPr>
          <w:p>
            <w:pPr>
              <w:spacing w:after="0" w:line="213" w:lineRule="exact"/>
              <w:rPr>
                <w:sz w:val="20"/>
                <w:szCs w:val="20"/>
                <w:color w:val="auto"/>
              </w:rPr>
            </w:pPr>
            <w:r>
              <w:rPr>
                <w:rFonts w:ascii="Arial" w:cs="Arial" w:eastAsia="Arial" w:hAnsi="Arial"/>
                <w:sz w:val="20"/>
                <w:szCs w:val="20"/>
                <w:color w:val="auto"/>
              </w:rPr>
              <w:t>Additions for tax positions related to the prior</w:t>
            </w:r>
          </w:p>
        </w:tc>
        <w:tc>
          <w:tcPr>
            <w:tcW w:w="3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3640" w:type="dxa"/>
            <w:vAlign w:val="bottom"/>
          </w:tcPr>
          <w:p>
            <w:pPr>
              <w:spacing w:after="0"/>
              <w:rPr>
                <w:sz w:val="18"/>
                <w:szCs w:val="18"/>
                <w:color w:val="auto"/>
              </w:rPr>
            </w:pPr>
          </w:p>
        </w:tc>
      </w:tr>
      <w:tr>
        <w:trPr>
          <w:trHeight w:val="246"/>
        </w:trPr>
        <w:tc>
          <w:tcPr>
            <w:tcW w:w="980" w:type="dxa"/>
            <w:vAlign w:val="bottom"/>
          </w:tcPr>
          <w:p>
            <w:pPr>
              <w:spacing w:after="0"/>
              <w:rPr>
                <w:sz w:val="21"/>
                <w:szCs w:val="21"/>
                <w:color w:val="auto"/>
              </w:rPr>
            </w:pPr>
          </w:p>
        </w:tc>
        <w:tc>
          <w:tcPr>
            <w:tcW w:w="4140" w:type="dxa"/>
            <w:vAlign w:val="bottom"/>
            <w:shd w:val="clear" w:color="auto" w:fill="CCEEFF"/>
          </w:tcPr>
          <w:p>
            <w:pPr>
              <w:ind w:left="180"/>
              <w:spacing w:after="0"/>
              <w:rPr>
                <w:sz w:val="20"/>
                <w:szCs w:val="20"/>
                <w:color w:val="auto"/>
              </w:rPr>
            </w:pPr>
            <w:r>
              <w:rPr>
                <w:rFonts w:ascii="Arial" w:cs="Arial" w:eastAsia="Arial" w:hAnsi="Arial"/>
                <w:sz w:val="20"/>
                <w:szCs w:val="20"/>
                <w:color w:val="auto"/>
              </w:rPr>
              <w:t>year</w:t>
            </w:r>
          </w:p>
        </w:tc>
        <w:tc>
          <w:tcPr>
            <w:tcW w:w="300" w:type="dxa"/>
            <w:vAlign w:val="bottom"/>
            <w:shd w:val="clear" w:color="auto" w:fill="CCEEFF"/>
          </w:tcPr>
          <w:p>
            <w:pPr>
              <w:spacing w:after="0"/>
              <w:rPr>
                <w:sz w:val="21"/>
                <w:szCs w:val="21"/>
                <w:color w:val="auto"/>
              </w:rPr>
            </w:pPr>
          </w:p>
        </w:tc>
        <w:tc>
          <w:tcPr>
            <w:tcW w:w="2400" w:type="dxa"/>
            <w:vAlign w:val="bottom"/>
            <w:shd w:val="clear" w:color="auto" w:fill="CCEEFF"/>
          </w:tcPr>
          <w:p>
            <w:pPr>
              <w:jc w:val="right"/>
              <w:ind w:right="22"/>
              <w:spacing w:after="0"/>
              <w:rPr>
                <w:sz w:val="20"/>
                <w:szCs w:val="20"/>
                <w:color w:val="auto"/>
              </w:rPr>
            </w:pPr>
            <w:r>
              <w:rPr>
                <w:rFonts w:ascii="Arial" w:cs="Arial" w:eastAsia="Arial" w:hAnsi="Arial"/>
                <w:sz w:val="20"/>
                <w:szCs w:val="20"/>
                <w:color w:val="auto"/>
              </w:rPr>
              <w:t>-</w:t>
            </w:r>
          </w:p>
        </w:tc>
        <w:tc>
          <w:tcPr>
            <w:tcW w:w="3640" w:type="dxa"/>
            <w:vAlign w:val="bottom"/>
          </w:tcPr>
          <w:p>
            <w:pPr>
              <w:spacing w:after="0"/>
              <w:rPr>
                <w:sz w:val="21"/>
                <w:szCs w:val="21"/>
                <w:color w:val="auto"/>
              </w:rPr>
            </w:pPr>
          </w:p>
        </w:tc>
      </w:tr>
      <w:tr>
        <w:trPr>
          <w:trHeight w:val="213"/>
        </w:trPr>
        <w:tc>
          <w:tcPr>
            <w:tcW w:w="980" w:type="dxa"/>
            <w:vAlign w:val="bottom"/>
          </w:tcPr>
          <w:p>
            <w:pPr>
              <w:spacing w:after="0"/>
              <w:rPr>
                <w:sz w:val="18"/>
                <w:szCs w:val="18"/>
                <w:color w:val="auto"/>
              </w:rPr>
            </w:pPr>
          </w:p>
        </w:tc>
        <w:tc>
          <w:tcPr>
            <w:tcW w:w="4140" w:type="dxa"/>
            <w:vAlign w:val="bottom"/>
          </w:tcPr>
          <w:p>
            <w:pPr>
              <w:spacing w:after="0" w:line="213" w:lineRule="exact"/>
              <w:rPr>
                <w:sz w:val="20"/>
                <w:szCs w:val="20"/>
                <w:color w:val="auto"/>
              </w:rPr>
            </w:pPr>
            <w:r>
              <w:rPr>
                <w:rFonts w:ascii="Arial" w:cs="Arial" w:eastAsia="Arial" w:hAnsi="Arial"/>
                <w:sz w:val="20"/>
                <w:szCs w:val="20"/>
                <w:color w:val="auto"/>
              </w:rPr>
              <w:t>Decreases related to settlement with taxing</w:t>
            </w:r>
          </w:p>
        </w:tc>
        <w:tc>
          <w:tcPr>
            <w:tcW w:w="3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246"/>
        </w:trPr>
        <w:tc>
          <w:tcPr>
            <w:tcW w:w="980" w:type="dxa"/>
            <w:vAlign w:val="bottom"/>
          </w:tcPr>
          <w:p>
            <w:pPr>
              <w:spacing w:after="0"/>
              <w:rPr>
                <w:sz w:val="21"/>
                <w:szCs w:val="21"/>
                <w:color w:val="auto"/>
              </w:rPr>
            </w:pPr>
          </w:p>
        </w:tc>
        <w:tc>
          <w:tcPr>
            <w:tcW w:w="4140" w:type="dxa"/>
            <w:vAlign w:val="bottom"/>
            <w:tcBorders>
              <w:bottom w:val="single" w:sz="8" w:color="CCEEFF"/>
            </w:tcBorders>
          </w:tcPr>
          <w:p>
            <w:pPr>
              <w:ind w:left="180"/>
              <w:spacing w:after="0"/>
              <w:rPr>
                <w:sz w:val="20"/>
                <w:szCs w:val="20"/>
                <w:color w:val="auto"/>
              </w:rPr>
            </w:pPr>
            <w:r>
              <w:rPr>
                <w:rFonts w:ascii="Arial" w:cs="Arial" w:eastAsia="Arial" w:hAnsi="Arial"/>
                <w:sz w:val="20"/>
                <w:szCs w:val="20"/>
                <w:color w:val="auto"/>
              </w:rPr>
              <w:t>authority</w:t>
            </w:r>
          </w:p>
        </w:tc>
        <w:tc>
          <w:tcPr>
            <w:tcW w:w="30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(1,505)</w:t>
            </w:r>
          </w:p>
        </w:tc>
        <w:tc>
          <w:tcPr>
            <w:tcW w:w="3640" w:type="dxa"/>
            <w:vAlign w:val="bottom"/>
          </w:tcPr>
          <w:p>
            <w:pPr>
              <w:spacing w:after="0"/>
              <w:rPr>
                <w:sz w:val="21"/>
                <w:szCs w:val="21"/>
                <w:color w:val="auto"/>
              </w:rPr>
            </w:pPr>
          </w:p>
        </w:tc>
      </w:tr>
      <w:tr>
        <w:trPr>
          <w:trHeight w:val="223"/>
        </w:trPr>
        <w:tc>
          <w:tcPr>
            <w:tcW w:w="980" w:type="dxa"/>
            <w:vAlign w:val="bottom"/>
          </w:tcPr>
          <w:p>
            <w:pPr>
              <w:spacing w:after="0"/>
              <w:rPr>
                <w:sz w:val="19"/>
                <w:szCs w:val="19"/>
                <w:color w:val="auto"/>
              </w:rPr>
            </w:pPr>
          </w:p>
        </w:tc>
        <w:tc>
          <w:tcPr>
            <w:tcW w:w="4140" w:type="dxa"/>
            <w:vAlign w:val="bottom"/>
            <w:tcBorders>
              <w:bottom w:val="single" w:sz="8" w:color="CCEEFF"/>
            </w:tcBorders>
            <w:shd w:val="clear" w:color="auto" w:fill="CCEEFF"/>
          </w:tcPr>
          <w:p>
            <w:pPr>
              <w:spacing w:after="0" w:line="223" w:lineRule="exact"/>
              <w:rPr>
                <w:sz w:val="20"/>
                <w:szCs w:val="20"/>
                <w:color w:val="auto"/>
              </w:rPr>
            </w:pPr>
            <w:r>
              <w:rPr>
                <w:rFonts w:ascii="Arial" w:cs="Arial" w:eastAsia="Arial" w:hAnsi="Arial"/>
                <w:sz w:val="20"/>
                <w:szCs w:val="20"/>
                <w:b w:val="1"/>
                <w:bCs w:val="1"/>
                <w:color w:val="auto"/>
              </w:rPr>
              <w:t>Balance at June 30, 2012</w:t>
            </w:r>
          </w:p>
        </w:tc>
        <w:tc>
          <w:tcPr>
            <w:tcW w:w="300" w:type="dxa"/>
            <w:vAlign w:val="bottom"/>
            <w:tcBorders>
              <w:bottom w:val="single" w:sz="8" w:color="auto"/>
            </w:tcBorders>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2400" w:type="dxa"/>
            <w:vAlign w:val="bottom"/>
            <w:tcBorders>
              <w:bottom w:val="single" w:sz="8" w:color="auto"/>
            </w:tcBorders>
            <w:shd w:val="clear" w:color="auto" w:fill="CCEEFF"/>
          </w:tcPr>
          <w:p>
            <w:pPr>
              <w:jc w:val="right"/>
              <w:ind w:right="22"/>
              <w:spacing w:after="0" w:line="223" w:lineRule="exact"/>
              <w:rPr>
                <w:sz w:val="20"/>
                <w:szCs w:val="20"/>
                <w:color w:val="auto"/>
              </w:rPr>
            </w:pPr>
            <w:r>
              <w:rPr>
                <w:rFonts w:ascii="Arial" w:cs="Arial" w:eastAsia="Arial" w:hAnsi="Arial"/>
                <w:sz w:val="20"/>
                <w:szCs w:val="20"/>
                <w:color w:val="auto"/>
              </w:rPr>
              <w:t>405</w:t>
            </w:r>
          </w:p>
        </w:tc>
        <w:tc>
          <w:tcPr>
            <w:tcW w:w="3640" w:type="dxa"/>
            <w:vAlign w:val="bottom"/>
          </w:tcPr>
          <w:p>
            <w:pPr>
              <w:spacing w:after="0"/>
              <w:rPr>
                <w:sz w:val="19"/>
                <w:szCs w:val="19"/>
                <w:color w:val="auto"/>
              </w:rPr>
            </w:pPr>
          </w:p>
        </w:tc>
      </w:tr>
      <w:tr>
        <w:trPr>
          <w:trHeight w:val="20"/>
        </w:trPr>
        <w:tc>
          <w:tcPr>
            <w:tcW w:w="9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0" w:type="dxa"/>
            <w:vAlign w:val="bottom"/>
          </w:tcPr>
          <w:p>
            <w:pPr>
              <w:jc w:val="right"/>
              <w:ind w:right="1922"/>
              <w:spacing w:after="0"/>
              <w:rPr>
                <w:sz w:val="20"/>
                <w:szCs w:val="20"/>
                <w:color w:val="auto"/>
              </w:rPr>
            </w:pPr>
            <w:r>
              <w:rPr>
                <w:rFonts w:ascii="Arial" w:cs="Arial" w:eastAsia="Arial" w:hAnsi="Arial"/>
                <w:sz w:val="18"/>
                <w:szCs w:val="18"/>
                <w:color w:val="auto"/>
              </w:rPr>
              <w:t>24</w:t>
            </w:r>
          </w:p>
        </w:tc>
        <w:tc>
          <w:tcPr>
            <w:tcW w:w="3640" w:type="dxa"/>
            <w:vAlign w:val="bottom"/>
          </w:tcPr>
          <w:p>
            <w:pPr>
              <w:spacing w:after="0"/>
              <w:rPr>
                <w:sz w:val="24"/>
                <w:szCs w:val="24"/>
                <w:color w:val="auto"/>
              </w:rPr>
            </w:pPr>
          </w:p>
        </w:tc>
      </w:tr>
      <w:tr>
        <w:trPr>
          <w:trHeight w:val="132"/>
        </w:trPr>
        <w:tc>
          <w:tcPr>
            <w:tcW w:w="980" w:type="dxa"/>
            <w:vAlign w:val="bottom"/>
            <w:tcBorders>
              <w:bottom w:val="single" w:sz="8" w:color="010101"/>
            </w:tcBorders>
          </w:tcPr>
          <w:p>
            <w:pPr>
              <w:spacing w:after="0"/>
              <w:rPr>
                <w:sz w:val="11"/>
                <w:szCs w:val="11"/>
                <w:color w:val="auto"/>
              </w:rPr>
            </w:pPr>
          </w:p>
        </w:tc>
        <w:tc>
          <w:tcPr>
            <w:tcW w:w="41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400" w:type="dxa"/>
            <w:vAlign w:val="bottom"/>
            <w:tcBorders>
              <w:bottom w:val="single" w:sz="8" w:color="010101"/>
            </w:tcBorders>
          </w:tcPr>
          <w:p>
            <w:pPr>
              <w:spacing w:after="0"/>
              <w:rPr>
                <w:sz w:val="11"/>
                <w:szCs w:val="11"/>
                <w:color w:val="auto"/>
              </w:rPr>
            </w:pPr>
          </w:p>
        </w:tc>
        <w:tc>
          <w:tcPr>
            <w:tcW w:w="36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8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5" w:lineRule="exact"/>
        <w:rPr>
          <w:sz w:val="20"/>
          <w:szCs w:val="20"/>
          <w:color w:val="auto"/>
        </w:rPr>
      </w:pPr>
    </w:p>
    <w:p>
      <w:pPr>
        <w:jc w:val="both"/>
        <w:ind w:right="40" w:firstLine="648"/>
        <w:spacing w:after="0" w:line="252" w:lineRule="auto"/>
        <w:rPr>
          <w:sz w:val="20"/>
          <w:szCs w:val="20"/>
          <w:color w:val="auto"/>
        </w:rPr>
      </w:pPr>
      <w:r>
        <w:rPr>
          <w:rFonts w:ascii="Arial" w:cs="Arial" w:eastAsia="Arial" w:hAnsi="Arial"/>
          <w:sz w:val="21"/>
          <w:szCs w:val="21"/>
          <w:color w:val="auto"/>
        </w:rPr>
        <w:t>The Company recognizes accrued interest and penalties related to unrecognized tax benefits in the provision for income taxes in the Company’s condensed consolidated financial statements. As of June 30, 2012, the Company had accrued approximately $0.2 million in interest and penalties related to unrecognized tax benefits. If the Company were to prevail on all uncertain tax positions, the resultant impact on the Company’s effective tax rate would not be significant.</w:t>
      </w:r>
    </w:p>
    <w:p>
      <w:pPr>
        <w:spacing w:after="0" w:line="201" w:lineRule="exact"/>
        <w:rPr>
          <w:sz w:val="20"/>
          <w:szCs w:val="20"/>
          <w:color w:val="auto"/>
        </w:rPr>
      </w:pPr>
    </w:p>
    <w:p>
      <w:pPr>
        <w:jc w:val="both"/>
        <w:ind w:right="40" w:firstLine="648"/>
        <w:spacing w:after="0" w:line="274" w:lineRule="auto"/>
        <w:rPr>
          <w:sz w:val="20"/>
          <w:szCs w:val="20"/>
          <w:color w:val="auto"/>
        </w:rPr>
      </w:pPr>
      <w:r>
        <w:rPr>
          <w:rFonts w:ascii="Arial" w:cs="Arial" w:eastAsia="Arial" w:hAnsi="Arial"/>
          <w:sz w:val="21"/>
          <w:szCs w:val="21"/>
          <w:color w:val="auto"/>
        </w:rPr>
        <w:t>It is expected that the amount of unrecognized tax benefits will change within the next 12 months. However, the Company does not expect the change to have a significant impact on its financial position, results of operations or liquidity.</w:t>
      </w:r>
    </w:p>
    <w:p>
      <w:pPr>
        <w:spacing w:after="0" w:line="178" w:lineRule="exact"/>
        <w:rPr>
          <w:sz w:val="20"/>
          <w:szCs w:val="20"/>
          <w:color w:val="auto"/>
        </w:rPr>
      </w:pPr>
    </w:p>
    <w:p>
      <w:pPr>
        <w:jc w:val="both"/>
        <w:ind w:right="40" w:firstLine="648"/>
        <w:spacing w:after="0" w:line="258" w:lineRule="auto"/>
        <w:rPr>
          <w:sz w:val="20"/>
          <w:szCs w:val="20"/>
          <w:color w:val="auto"/>
        </w:rPr>
      </w:pPr>
      <w:r>
        <w:rPr>
          <w:rFonts w:ascii="Arial" w:cs="Arial" w:eastAsia="Arial" w:hAnsi="Arial"/>
          <w:sz w:val="21"/>
          <w:szCs w:val="21"/>
          <w:color w:val="auto"/>
        </w:rPr>
        <w:t>On February 10, 2011, the Internal Revenue Service (“IRS”) began its examination of the Company’s U.S. federal income tax returns for the years ended December 31, 2009 and 2008. The examination was completed in April 2012 with no material adjustments. The Company is also currently under examination by certain state jurisdictions.</w:t>
      </w:r>
    </w:p>
    <w:p>
      <w:pPr>
        <w:spacing w:after="0" w:line="194" w:lineRule="exact"/>
        <w:rPr>
          <w:sz w:val="20"/>
          <w:szCs w:val="20"/>
          <w:color w:val="auto"/>
        </w:rPr>
      </w:pPr>
    </w:p>
    <w:p>
      <w:pPr>
        <w:jc w:val="both"/>
        <w:ind w:right="40" w:firstLine="648"/>
        <w:spacing w:after="0"/>
        <w:rPr>
          <w:sz w:val="20"/>
          <w:szCs w:val="20"/>
          <w:color w:val="auto"/>
        </w:rPr>
      </w:pPr>
      <w:r>
        <w:rPr>
          <w:rFonts w:ascii="Arial" w:cs="Arial" w:eastAsia="Arial" w:hAnsi="Arial"/>
          <w:sz w:val="22"/>
          <w:szCs w:val="22"/>
          <w:color w:val="auto"/>
        </w:rPr>
        <w:t>The Company is subject to U.S. federal income tax as well as to income tax in multiple state and foreign jurisdictions. Federal income tax returns are subject to IRS examination for the 2010 and 2011 tax years. State income tax returns are subject to examination for the 2007 through 2011 tax years.</w:t>
      </w:r>
    </w:p>
    <w:p>
      <w:pPr>
        <w:spacing w:after="0" w:line="213"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22"/>
          <w:szCs w:val="22"/>
          <w:color w:val="auto"/>
        </w:rPr>
        <w:t>EARNINGS PER SHARE</w:t>
      </w:r>
    </w:p>
    <w:p>
      <w:pPr>
        <w:sectPr>
          <w:pgSz w:w="11900" w:h="16838" w:orient="portrait"/>
          <w:cols w:equalWidth="0" w:num="1">
            <w:col w:w="11460"/>
          </w:cols>
          <w:pgMar w:left="240" w:top="112" w:right="199" w:bottom="0" w:gutter="0" w:footer="0" w:header="0"/>
        </w:sectPr>
      </w:pPr>
    </w:p>
    <w:bookmarkStart w:id="16" w:name="page17"/>
    <w:bookmarkEnd w:id="16"/>
    <w:p>
      <w:pPr>
        <w:spacing w:after="0" w:line="38"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A reconciliation of the weighted-average shares used in the basic and diluted earnings per common share computations is presented below:</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243"/>
        </w:trPr>
        <w:tc>
          <w:tcPr>
            <w:tcW w:w="4280" w:type="dxa"/>
            <w:vAlign w:val="bottom"/>
          </w:tcPr>
          <w:p>
            <w:pPr>
              <w:spacing w:after="0"/>
              <w:rPr>
                <w:sz w:val="21"/>
                <w:szCs w:val="21"/>
                <w:color w:val="auto"/>
              </w:rPr>
            </w:pPr>
          </w:p>
        </w:tc>
        <w:tc>
          <w:tcPr>
            <w:tcW w:w="3300" w:type="dxa"/>
            <w:vAlign w:val="bottom"/>
            <w:gridSpan w:val="5"/>
          </w:tcPr>
          <w:p>
            <w:pPr>
              <w:jc w:val="center"/>
              <w:ind w:right="300"/>
              <w:spacing w:after="0"/>
              <w:rPr>
                <w:sz w:val="20"/>
                <w:szCs w:val="20"/>
                <w:color w:val="auto"/>
              </w:rPr>
            </w:pPr>
            <w:r>
              <w:rPr>
                <w:rFonts w:ascii="Arial" w:cs="Arial" w:eastAsia="Arial" w:hAnsi="Arial"/>
                <w:sz w:val="21"/>
                <w:szCs w:val="21"/>
                <w:color w:val="auto"/>
                <w:w w:val="89"/>
              </w:rPr>
              <w:t>Three-Months Ended</w:t>
            </w:r>
          </w:p>
        </w:tc>
        <w:tc>
          <w:tcPr>
            <w:tcW w:w="2980" w:type="dxa"/>
            <w:vAlign w:val="bottom"/>
            <w:gridSpan w:val="4"/>
          </w:tcPr>
          <w:p>
            <w:pPr>
              <w:jc w:val="center"/>
              <w:spacing w:after="0"/>
              <w:rPr>
                <w:sz w:val="20"/>
                <w:szCs w:val="20"/>
                <w:color w:val="auto"/>
              </w:rPr>
            </w:pPr>
            <w:r>
              <w:rPr>
                <w:rFonts w:ascii="Arial" w:cs="Arial" w:eastAsia="Arial" w:hAnsi="Arial"/>
                <w:sz w:val="21"/>
                <w:szCs w:val="21"/>
                <w:color w:val="auto"/>
                <w:w w:val="90"/>
              </w:rPr>
              <w:t>Six-Months Ended</w:t>
            </w:r>
          </w:p>
        </w:tc>
      </w:tr>
      <w:tr>
        <w:trPr>
          <w:trHeight w:val="256"/>
        </w:trPr>
        <w:tc>
          <w:tcPr>
            <w:tcW w:w="4280" w:type="dxa"/>
            <w:vAlign w:val="bottom"/>
          </w:tcPr>
          <w:p>
            <w:pPr>
              <w:spacing w:after="0"/>
              <w:rPr>
                <w:sz w:val="22"/>
                <w:szCs w:val="22"/>
                <w:color w:val="auto"/>
              </w:rPr>
            </w:pPr>
          </w:p>
        </w:tc>
        <w:tc>
          <w:tcPr>
            <w:tcW w:w="1980" w:type="dxa"/>
            <w:vAlign w:val="bottom"/>
            <w:tcBorders>
              <w:bottom w:val="single" w:sz="8" w:color="auto"/>
            </w:tcBorders>
            <w:gridSpan w:val="3"/>
          </w:tcPr>
          <w:p>
            <w:pPr>
              <w:jc w:val="center"/>
              <w:ind w:left="916"/>
              <w:spacing w:after="0"/>
              <w:rPr>
                <w:sz w:val="20"/>
                <w:szCs w:val="20"/>
                <w:color w:val="auto"/>
              </w:rPr>
            </w:pPr>
            <w:r>
              <w:rPr>
                <w:rFonts w:ascii="Arial" w:cs="Arial" w:eastAsia="Arial" w:hAnsi="Arial"/>
                <w:sz w:val="21"/>
                <w:szCs w:val="21"/>
                <w:color w:val="auto"/>
                <w:w w:val="84"/>
              </w:rPr>
              <w:t>June 30,</w:t>
            </w:r>
          </w:p>
        </w:tc>
        <w:tc>
          <w:tcPr>
            <w:tcW w:w="1040" w:type="dxa"/>
            <w:vAlign w:val="bottom"/>
            <w:tcBorders>
              <w:bottom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1960" w:type="dxa"/>
            <w:vAlign w:val="bottom"/>
            <w:tcBorders>
              <w:bottom w:val="single" w:sz="8" w:color="auto"/>
            </w:tcBorders>
            <w:gridSpan w:val="3"/>
          </w:tcPr>
          <w:p>
            <w:pPr>
              <w:jc w:val="center"/>
              <w:ind w:left="896"/>
              <w:spacing w:after="0"/>
              <w:rPr>
                <w:sz w:val="20"/>
                <w:szCs w:val="20"/>
                <w:color w:val="auto"/>
              </w:rPr>
            </w:pPr>
            <w:r>
              <w:rPr>
                <w:rFonts w:ascii="Arial" w:cs="Arial" w:eastAsia="Arial" w:hAnsi="Arial"/>
                <w:sz w:val="21"/>
                <w:szCs w:val="21"/>
                <w:color w:val="auto"/>
                <w:w w:val="84"/>
              </w:rPr>
              <w:t>June 30,</w:t>
            </w:r>
          </w:p>
        </w:tc>
        <w:tc>
          <w:tcPr>
            <w:tcW w:w="1020" w:type="dxa"/>
            <w:vAlign w:val="bottom"/>
            <w:tcBorders>
              <w:bottom w:val="single" w:sz="8" w:color="auto"/>
            </w:tcBorders>
          </w:tcPr>
          <w:p>
            <w:pPr>
              <w:spacing w:after="0"/>
              <w:rPr>
                <w:sz w:val="22"/>
                <w:szCs w:val="22"/>
                <w:color w:val="auto"/>
              </w:rPr>
            </w:pPr>
          </w:p>
        </w:tc>
      </w:tr>
      <w:tr>
        <w:trPr>
          <w:trHeight w:val="237"/>
        </w:trPr>
        <w:tc>
          <w:tcPr>
            <w:tcW w:w="428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tcPr>
          <w:p>
            <w:pPr>
              <w:jc w:val="right"/>
              <w:ind w:right="396"/>
              <w:spacing w:after="0" w:line="237" w:lineRule="exact"/>
              <w:rPr>
                <w:sz w:val="20"/>
                <w:szCs w:val="20"/>
                <w:color w:val="auto"/>
              </w:rPr>
            </w:pPr>
            <w:r>
              <w:rPr>
                <w:rFonts w:ascii="Arial" w:cs="Arial" w:eastAsia="Arial" w:hAnsi="Arial"/>
                <w:sz w:val="21"/>
                <w:szCs w:val="21"/>
                <w:color w:val="auto"/>
              </w:rPr>
              <w:t>2012</w:t>
            </w:r>
          </w:p>
        </w:tc>
        <w:tc>
          <w:tcPr>
            <w:tcW w:w="2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6"/>
              <w:spacing w:after="0" w:line="237" w:lineRule="exact"/>
              <w:rPr>
                <w:sz w:val="20"/>
                <w:szCs w:val="20"/>
                <w:color w:val="auto"/>
              </w:rPr>
            </w:pPr>
            <w:r>
              <w:rPr>
                <w:rFonts w:ascii="Arial" w:cs="Arial" w:eastAsia="Arial" w:hAnsi="Arial"/>
                <w:sz w:val="21"/>
                <w:szCs w:val="21"/>
                <w:color w:val="auto"/>
              </w:rPr>
              <w:t>2011</w:t>
            </w:r>
          </w:p>
        </w:tc>
        <w:tc>
          <w:tcPr>
            <w:tcW w:w="28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right"/>
              <w:ind w:right="376"/>
              <w:spacing w:after="0" w:line="237" w:lineRule="exact"/>
              <w:rPr>
                <w:sz w:val="20"/>
                <w:szCs w:val="20"/>
                <w:color w:val="auto"/>
              </w:rPr>
            </w:pPr>
            <w:r>
              <w:rPr>
                <w:rFonts w:ascii="Arial" w:cs="Arial" w:eastAsia="Arial" w:hAnsi="Arial"/>
                <w:sz w:val="21"/>
                <w:szCs w:val="21"/>
                <w:color w:val="auto"/>
              </w:rPr>
              <w:t>2012</w:t>
            </w:r>
          </w:p>
        </w:tc>
        <w:tc>
          <w:tcPr>
            <w:tcW w:w="2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6"/>
              <w:spacing w:after="0" w:line="237" w:lineRule="exact"/>
              <w:rPr>
                <w:sz w:val="20"/>
                <w:szCs w:val="20"/>
                <w:color w:val="auto"/>
              </w:rPr>
            </w:pPr>
            <w:r>
              <w:rPr>
                <w:rFonts w:ascii="Arial" w:cs="Arial" w:eastAsia="Arial" w:hAnsi="Arial"/>
                <w:sz w:val="21"/>
                <w:szCs w:val="21"/>
                <w:color w:val="auto"/>
              </w:rPr>
              <w:t>2011</w:t>
            </w:r>
          </w:p>
        </w:tc>
      </w:tr>
      <w:tr>
        <w:trPr>
          <w:trHeight w:val="223"/>
        </w:trPr>
        <w:tc>
          <w:tcPr>
            <w:tcW w:w="4280" w:type="dxa"/>
            <w:vAlign w:val="bottom"/>
            <w:shd w:val="clear" w:color="auto" w:fill="CCEEFF"/>
          </w:tcPr>
          <w:p>
            <w:pPr>
              <w:spacing w:after="0" w:line="223" w:lineRule="exact"/>
              <w:rPr>
                <w:sz w:val="20"/>
                <w:szCs w:val="20"/>
                <w:color w:val="auto"/>
              </w:rPr>
            </w:pPr>
            <w:r>
              <w:rPr>
                <w:rFonts w:ascii="Arial" w:cs="Arial" w:eastAsia="Arial" w:hAnsi="Arial"/>
                <w:sz w:val="21"/>
                <w:szCs w:val="21"/>
                <w:color w:val="auto"/>
              </w:rPr>
              <w:t>Weighted-average shares outstanding:</w:t>
            </w:r>
          </w:p>
        </w:tc>
        <w:tc>
          <w:tcPr>
            <w:tcW w:w="1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43"/>
        </w:trPr>
        <w:tc>
          <w:tcPr>
            <w:tcW w:w="4280" w:type="dxa"/>
            <w:vAlign w:val="bottom"/>
          </w:tcPr>
          <w:p>
            <w:pPr>
              <w:ind w:left="180"/>
              <w:spacing w:after="0"/>
              <w:rPr>
                <w:sz w:val="20"/>
                <w:szCs w:val="20"/>
                <w:color w:val="auto"/>
              </w:rPr>
            </w:pPr>
            <w:r>
              <w:rPr>
                <w:rFonts w:ascii="Arial" w:cs="Arial" w:eastAsia="Arial" w:hAnsi="Arial"/>
                <w:sz w:val="21"/>
                <w:szCs w:val="21"/>
                <w:color w:val="auto"/>
              </w:rPr>
              <w:t>Basic</w:t>
            </w:r>
          </w:p>
        </w:tc>
        <w:tc>
          <w:tcPr>
            <w:tcW w:w="1380" w:type="dxa"/>
            <w:vAlign w:val="bottom"/>
          </w:tcPr>
          <w:p>
            <w:pPr>
              <w:jc w:val="right"/>
              <w:spacing w:after="0"/>
              <w:rPr>
                <w:sz w:val="20"/>
                <w:szCs w:val="20"/>
                <w:color w:val="auto"/>
              </w:rPr>
            </w:pPr>
            <w:r>
              <w:rPr>
                <w:rFonts w:ascii="Arial" w:cs="Arial" w:eastAsia="Arial" w:hAnsi="Arial"/>
                <w:sz w:val="21"/>
                <w:szCs w:val="21"/>
                <w:color w:val="auto"/>
              </w:rPr>
              <w:t>176,186</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1"/>
                <w:szCs w:val="21"/>
                <w:color w:val="auto"/>
              </w:rPr>
              <w:t>176,950</w:t>
            </w: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21"/>
                <w:szCs w:val="21"/>
                <w:color w:val="auto"/>
              </w:rPr>
              <w:t>175,509</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1"/>
                <w:szCs w:val="21"/>
                <w:color w:val="auto"/>
              </w:rPr>
              <w:t>177,402</w:t>
            </w:r>
          </w:p>
        </w:tc>
      </w:tr>
      <w:tr>
        <w:trPr>
          <w:trHeight w:val="243"/>
        </w:trPr>
        <w:tc>
          <w:tcPr>
            <w:tcW w:w="4280" w:type="dxa"/>
            <w:vAlign w:val="bottom"/>
            <w:shd w:val="clear" w:color="auto" w:fill="CCEEFF"/>
          </w:tcPr>
          <w:p>
            <w:pPr>
              <w:ind w:left="180"/>
              <w:spacing w:after="0"/>
              <w:rPr>
                <w:sz w:val="20"/>
                <w:szCs w:val="20"/>
                <w:color w:val="auto"/>
              </w:rPr>
            </w:pPr>
            <w:r>
              <w:rPr>
                <w:rFonts w:ascii="Arial" w:cs="Arial" w:eastAsia="Arial" w:hAnsi="Arial"/>
                <w:sz w:val="21"/>
                <w:szCs w:val="21"/>
                <w:color w:val="auto"/>
              </w:rPr>
              <w:t>Dilutive securities</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1"/>
                <w:szCs w:val="21"/>
                <w:color w:val="auto"/>
              </w:rPr>
              <w:t>10,098</w:t>
            </w:r>
          </w:p>
        </w:tc>
        <w:tc>
          <w:tcPr>
            <w:tcW w:w="2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1"/>
                <w:szCs w:val="21"/>
                <w:color w:val="auto"/>
              </w:rPr>
              <w:t>10,258</w:t>
            </w:r>
          </w:p>
        </w:tc>
        <w:tc>
          <w:tcPr>
            <w:tcW w:w="280" w:type="dxa"/>
            <w:vAlign w:val="bottom"/>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1"/>
                <w:szCs w:val="21"/>
                <w:color w:val="auto"/>
              </w:rPr>
              <w:t>10,324</w:t>
            </w:r>
          </w:p>
        </w:tc>
        <w:tc>
          <w:tcPr>
            <w:tcW w:w="26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1"/>
                <w:szCs w:val="21"/>
                <w:color w:val="auto"/>
              </w:rPr>
              <w:t>9,882</w:t>
            </w:r>
          </w:p>
        </w:tc>
      </w:tr>
      <w:tr>
        <w:trPr>
          <w:trHeight w:val="237"/>
        </w:trPr>
        <w:tc>
          <w:tcPr>
            <w:tcW w:w="4280" w:type="dxa"/>
            <w:vAlign w:val="bottom"/>
          </w:tcPr>
          <w:p>
            <w:pPr>
              <w:ind w:left="180"/>
              <w:spacing w:after="0" w:line="237" w:lineRule="exact"/>
              <w:rPr>
                <w:sz w:val="20"/>
                <w:szCs w:val="20"/>
                <w:color w:val="auto"/>
              </w:rPr>
            </w:pPr>
            <w:r>
              <w:rPr>
                <w:rFonts w:ascii="Arial" w:cs="Arial" w:eastAsia="Arial" w:hAnsi="Arial"/>
                <w:sz w:val="21"/>
                <w:szCs w:val="21"/>
                <w:color w:val="auto"/>
              </w:rPr>
              <w:t>Diluted</w:t>
            </w:r>
          </w:p>
        </w:tc>
        <w:tc>
          <w:tcPr>
            <w:tcW w:w="138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186,284</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187,208</w:t>
            </w:r>
          </w:p>
        </w:tc>
        <w:tc>
          <w:tcPr>
            <w:tcW w:w="280" w:type="dxa"/>
            <w:vAlign w:val="bottom"/>
          </w:tcPr>
          <w:p>
            <w:pPr>
              <w:spacing w:after="0"/>
              <w:rPr>
                <w:sz w:val="20"/>
                <w:szCs w:val="20"/>
                <w:color w:val="auto"/>
              </w:rPr>
            </w:pPr>
          </w:p>
        </w:tc>
        <w:tc>
          <w:tcPr>
            <w:tcW w:w="13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185,833</w:t>
            </w: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187,284</w:t>
            </w:r>
          </w:p>
        </w:tc>
      </w:tr>
      <w:tr>
        <w:trPr>
          <w:trHeight w:val="20"/>
        </w:trPr>
        <w:tc>
          <w:tcPr>
            <w:tcW w:w="4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For the three-months ended June 30, 2012 and 2011, options outstanding totaling 0.2 million and 0.6 million shares, respectively, were excluded from the calculations as their effect would have been antidilutive. For the six-months ended June 30, 2012 and 2011, options outstanding totaling 0.2 million and 0.7 million shares, respectively, were excluded from the calculations as their effect would have been antidilutive.</w:t>
      </w:r>
    </w:p>
    <w:p>
      <w:pPr>
        <w:spacing w:after="0" w:line="212"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22"/>
          <w:szCs w:val="22"/>
          <w:color w:val="auto"/>
        </w:rPr>
      </w:pPr>
      <w:r>
        <w:rPr>
          <w:rFonts w:ascii="Arial" w:cs="Arial" w:eastAsia="Arial" w:hAnsi="Arial"/>
          <w:sz w:val="22"/>
          <w:szCs w:val="22"/>
          <w:color w:val="auto"/>
        </w:rPr>
        <w:t>SEGMENT INFORMATION</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Company has two reportable segments, namely Direct Store Delivery (“DSD”), whose principal products comprise energy drinks, and Warehouse (“Warehouse”), whose principal products comprise juice-based and soda beverages. The DSD segment develops, markets and sells products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4" w:lineRule="exact"/>
        <w:rPr>
          <w:sz w:val="20"/>
          <w:szCs w:val="20"/>
          <w:color w:val="auto"/>
        </w:rPr>
      </w:pPr>
    </w:p>
    <w:p>
      <w:pPr>
        <w:jc w:val="both"/>
        <w:spacing w:after="0"/>
        <w:rPr>
          <w:sz w:val="20"/>
          <w:szCs w:val="20"/>
          <w:color w:val="auto"/>
        </w:rPr>
      </w:pPr>
      <w:r>
        <w:rPr>
          <w:rFonts w:ascii="Arial" w:cs="Arial" w:eastAsia="Arial" w:hAnsi="Arial"/>
          <w:sz w:val="22"/>
          <w:szCs w:val="22"/>
          <w:color w:val="auto"/>
        </w:rPr>
        <w:t>primarily through an exclusive distributor network, whereas the Warehouse segment develops, markets and sells products primarily direct to retailers. Corporate and unallocated amounts that do not relate to DSD or Warehouse segments have been allocated to “Corporate &amp; Unallocated.”</w:t>
      </w:r>
    </w:p>
    <w:p>
      <w:pPr>
        <w:spacing w:after="0" w:line="21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The net revenues derived from the DSD and Warehouse segments and other financial information related thereto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0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980" w:type="dxa"/>
            <w:vAlign w:val="bottom"/>
            <w:tcBorders>
              <w:bottom w:val="single" w:sz="8" w:color="auto"/>
            </w:tcBorders>
            <w:gridSpan w:val="5"/>
          </w:tcPr>
          <w:p>
            <w:pPr>
              <w:ind w:left="100"/>
              <w:spacing w:after="0"/>
              <w:rPr>
                <w:sz w:val="20"/>
                <w:szCs w:val="20"/>
                <w:color w:val="auto"/>
              </w:rPr>
            </w:pPr>
            <w:r>
              <w:rPr>
                <w:rFonts w:ascii="Arial" w:cs="Arial" w:eastAsia="Arial" w:hAnsi="Arial"/>
                <w:sz w:val="20"/>
                <w:szCs w:val="20"/>
                <w:color w:val="auto"/>
                <w:w w:val="89"/>
              </w:rPr>
              <w:t>Three-Months Ended June 30, 2012</w:t>
            </w:r>
          </w:p>
        </w:tc>
        <w:tc>
          <w:tcPr>
            <w:tcW w:w="2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06"/>
        </w:trPr>
        <w:tc>
          <w:tcPr>
            <w:tcW w:w="5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ind w:left="80"/>
              <w:spacing w:after="0" w:line="207" w:lineRule="exact"/>
              <w:rPr>
                <w:sz w:val="20"/>
                <w:szCs w:val="20"/>
                <w:color w:val="auto"/>
              </w:rPr>
            </w:pPr>
            <w:r>
              <w:rPr>
                <w:rFonts w:ascii="Arial" w:cs="Arial" w:eastAsia="Arial" w:hAnsi="Arial"/>
                <w:sz w:val="20"/>
                <w:szCs w:val="20"/>
                <w:color w:val="auto"/>
                <w:w w:val="96"/>
              </w:rPr>
              <w:t>Corporate and</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46"/>
        </w:trPr>
        <w:tc>
          <w:tcPr>
            <w:tcW w:w="5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20"/>
                <w:szCs w:val="20"/>
                <w:color w:val="auto"/>
              </w:rPr>
              <w:t>DSD</w:t>
            </w:r>
          </w:p>
        </w:tc>
        <w:tc>
          <w:tcPr>
            <w:tcW w:w="220" w:type="dxa"/>
            <w:vAlign w:val="bottom"/>
          </w:tcPr>
          <w:p>
            <w:pPr>
              <w:spacing w:after="0"/>
              <w:rPr>
                <w:sz w:val="21"/>
                <w:szCs w:val="21"/>
                <w:color w:val="auto"/>
              </w:rPr>
            </w:pPr>
          </w:p>
        </w:tc>
        <w:tc>
          <w:tcPr>
            <w:tcW w:w="1420" w:type="dxa"/>
            <w:vAlign w:val="bottom"/>
            <w:gridSpan w:val="2"/>
          </w:tcPr>
          <w:p>
            <w:pPr>
              <w:ind w:left="20"/>
              <w:spacing w:after="0"/>
              <w:rPr>
                <w:sz w:val="20"/>
                <w:szCs w:val="20"/>
                <w:color w:val="auto"/>
              </w:rPr>
            </w:pPr>
            <w:r>
              <w:rPr>
                <w:rFonts w:ascii="Arial" w:cs="Arial" w:eastAsia="Arial" w:hAnsi="Arial"/>
                <w:sz w:val="20"/>
                <w:szCs w:val="20"/>
                <w:color w:val="auto"/>
              </w:rPr>
              <w:t>Warehouse</w:t>
            </w:r>
          </w:p>
        </w:tc>
        <w:tc>
          <w:tcPr>
            <w:tcW w:w="1340" w:type="dxa"/>
            <w:vAlign w:val="bottom"/>
            <w:gridSpan w:val="2"/>
          </w:tcPr>
          <w:p>
            <w:pPr>
              <w:jc w:val="center"/>
              <w:spacing w:after="0"/>
              <w:rPr>
                <w:sz w:val="20"/>
                <w:szCs w:val="20"/>
                <w:color w:val="auto"/>
              </w:rPr>
            </w:pPr>
            <w:r>
              <w:rPr>
                <w:rFonts w:ascii="Arial" w:cs="Arial" w:eastAsia="Arial" w:hAnsi="Arial"/>
                <w:sz w:val="20"/>
                <w:szCs w:val="20"/>
                <w:color w:val="auto"/>
                <w:w w:val="88"/>
              </w:rPr>
              <w:t>Unallocated</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gridSpan w:val="2"/>
          </w:tcPr>
          <w:p>
            <w:pPr>
              <w:ind w:left="160"/>
              <w:spacing w:after="0"/>
              <w:rPr>
                <w:sz w:val="20"/>
                <w:szCs w:val="20"/>
                <w:color w:val="auto"/>
              </w:rPr>
            </w:pPr>
            <w:r>
              <w:rPr>
                <w:rFonts w:ascii="Arial" w:cs="Arial" w:eastAsia="Arial" w:hAnsi="Arial"/>
                <w:sz w:val="20"/>
                <w:szCs w:val="20"/>
                <w:color w:val="auto"/>
              </w:rPr>
              <w:t>Total</w:t>
            </w:r>
          </w:p>
        </w:tc>
      </w:tr>
      <w:tr>
        <w:trPr>
          <w:trHeight w:val="223"/>
        </w:trPr>
        <w:tc>
          <w:tcPr>
            <w:tcW w:w="500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Net sales</w:t>
            </w:r>
          </w:p>
        </w:tc>
        <w:tc>
          <w:tcPr>
            <w:tcW w:w="340" w:type="dxa"/>
            <w:vAlign w:val="bottom"/>
            <w:tcBorders>
              <w:top w:val="single" w:sz="8" w:color="auto"/>
            </w:tcBorders>
            <w:shd w:val="clear" w:color="auto" w:fill="CCEEFF"/>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040" w:type="dxa"/>
            <w:vAlign w:val="bottom"/>
            <w:tcBorders>
              <w:top w:val="single" w:sz="8" w:color="auto"/>
            </w:tcBorders>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568,026</w:t>
            </w:r>
          </w:p>
        </w:tc>
        <w:tc>
          <w:tcPr>
            <w:tcW w:w="2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100"/>
              <w:spacing w:after="0" w:line="223" w:lineRule="exact"/>
              <w:rPr>
                <w:sz w:val="20"/>
                <w:szCs w:val="20"/>
                <w:color w:val="auto"/>
              </w:rPr>
            </w:pPr>
            <w:r>
              <w:rPr>
                <w:rFonts w:ascii="Arial" w:cs="Arial" w:eastAsia="Arial" w:hAnsi="Arial"/>
                <w:sz w:val="20"/>
                <w:szCs w:val="20"/>
                <w:color w:val="auto"/>
                <w:w w:val="89"/>
              </w:rPr>
              <w:t>$</w:t>
            </w:r>
          </w:p>
        </w:tc>
        <w:tc>
          <w:tcPr>
            <w:tcW w:w="1140" w:type="dxa"/>
            <w:vAlign w:val="bottom"/>
            <w:tcBorders>
              <w:top w:val="single" w:sz="8" w:color="auto"/>
            </w:tcBorders>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24,614</w:t>
            </w:r>
          </w:p>
        </w:tc>
        <w:tc>
          <w:tcPr>
            <w:tcW w:w="2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100"/>
              <w:spacing w:after="0" w:line="223" w:lineRule="exact"/>
              <w:rPr>
                <w:sz w:val="20"/>
                <w:szCs w:val="20"/>
                <w:color w:val="auto"/>
              </w:rPr>
            </w:pPr>
            <w:r>
              <w:rPr>
                <w:rFonts w:ascii="Arial" w:cs="Arial" w:eastAsia="Arial" w:hAnsi="Arial"/>
                <w:sz w:val="20"/>
                <w:szCs w:val="20"/>
                <w:color w:val="auto"/>
              </w:rPr>
              <w:t>$</w:t>
            </w:r>
          </w:p>
        </w:tc>
        <w:tc>
          <w:tcPr>
            <w:tcW w:w="940" w:type="dxa"/>
            <w:vAlign w:val="bottom"/>
            <w:tcBorders>
              <w:top w:val="single" w:sz="8" w:color="auto"/>
            </w:tcBorders>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2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61"/>
              <w:spacing w:after="0" w:line="223" w:lineRule="exact"/>
              <w:rPr>
                <w:sz w:val="20"/>
                <w:szCs w:val="20"/>
                <w:color w:val="auto"/>
              </w:rPr>
            </w:pPr>
            <w:r>
              <w:rPr>
                <w:rFonts w:ascii="Arial" w:cs="Arial" w:eastAsia="Arial" w:hAnsi="Arial"/>
                <w:sz w:val="20"/>
                <w:szCs w:val="20"/>
                <w:color w:val="auto"/>
                <w:w w:val="71"/>
              </w:rPr>
              <w:t>$</w:t>
            </w:r>
          </w:p>
        </w:tc>
        <w:tc>
          <w:tcPr>
            <w:tcW w:w="108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592,640</w:t>
            </w:r>
          </w:p>
        </w:tc>
        <w:tc>
          <w:tcPr>
            <w:tcW w:w="60" w:type="dxa"/>
            <w:vAlign w:val="bottom"/>
            <w:tcBorders>
              <w:top w:val="single" w:sz="8" w:color="CCEEFF"/>
            </w:tcBorders>
            <w:shd w:val="clear" w:color="auto" w:fill="CCEEFF"/>
          </w:tcPr>
          <w:p>
            <w:pPr>
              <w:spacing w:after="0"/>
              <w:rPr>
                <w:sz w:val="19"/>
                <w:szCs w:val="19"/>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Contribution margin</w:t>
            </w:r>
          </w:p>
        </w:tc>
        <w:tc>
          <w:tcPr>
            <w:tcW w:w="34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20"/>
                <w:szCs w:val="20"/>
                <w:color w:val="auto"/>
              </w:rPr>
              <w:t>195,770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21"/>
              <w:spacing w:after="0"/>
              <w:rPr>
                <w:sz w:val="20"/>
                <w:szCs w:val="20"/>
                <w:color w:val="auto"/>
              </w:rPr>
            </w:pPr>
            <w:r>
              <w:rPr>
                <w:rFonts w:ascii="Arial" w:cs="Arial" w:eastAsia="Arial" w:hAnsi="Arial"/>
                <w:sz w:val="20"/>
                <w:szCs w:val="20"/>
                <w:color w:val="auto"/>
              </w:rPr>
              <w:t>1,621</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197,391</w:t>
            </w:r>
          </w:p>
        </w:tc>
        <w:tc>
          <w:tcPr>
            <w:tcW w:w="60" w:type="dxa"/>
            <w:vAlign w:val="bottom"/>
          </w:tcPr>
          <w:p>
            <w:pPr>
              <w:spacing w:after="0"/>
              <w:rPr>
                <w:sz w:val="19"/>
                <w:szCs w:val="19"/>
                <w:color w:val="auto"/>
              </w:rPr>
            </w:pPr>
          </w:p>
        </w:tc>
      </w:tr>
      <w:tr>
        <w:trPr>
          <w:trHeight w:val="230"/>
        </w:trPr>
        <w:tc>
          <w:tcPr>
            <w:tcW w:w="5000" w:type="dxa"/>
            <w:vAlign w:val="bottom"/>
            <w:shd w:val="clear" w:color="auto" w:fill="CCEEFF"/>
          </w:tcPr>
          <w:p>
            <w:pPr>
              <w:spacing w:after="0"/>
              <w:rPr>
                <w:sz w:val="20"/>
                <w:szCs w:val="20"/>
                <w:color w:val="auto"/>
              </w:rPr>
            </w:pPr>
            <w:r>
              <w:rPr>
                <w:rFonts w:ascii="Arial" w:cs="Arial" w:eastAsia="Arial" w:hAnsi="Arial"/>
                <w:sz w:val="20"/>
                <w:szCs w:val="20"/>
                <w:color w:val="auto"/>
              </w:rPr>
              <w:t>Corporate and unallocated expenses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(27,618)</w:t>
            </w: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(27,618)</w:t>
            </w:r>
          </w:p>
        </w:tc>
        <w:tc>
          <w:tcPr>
            <w:tcW w:w="60" w:type="dxa"/>
            <w:vAlign w:val="bottom"/>
            <w:shd w:val="clear" w:color="auto" w:fill="CCEEFF"/>
          </w:tcPr>
          <w:p>
            <w:pPr>
              <w:spacing w:after="0"/>
              <w:rPr>
                <w:sz w:val="19"/>
                <w:szCs w:val="19"/>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Operating income</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169,773</w:t>
            </w:r>
          </w:p>
        </w:tc>
        <w:tc>
          <w:tcPr>
            <w:tcW w:w="60" w:type="dxa"/>
            <w:vAlign w:val="bottom"/>
          </w:tcPr>
          <w:p>
            <w:pPr>
              <w:spacing w:after="0"/>
              <w:rPr>
                <w:sz w:val="19"/>
                <w:szCs w:val="19"/>
                <w:color w:val="auto"/>
              </w:rPr>
            </w:pPr>
          </w:p>
        </w:tc>
      </w:tr>
      <w:tr>
        <w:trPr>
          <w:trHeight w:val="230"/>
        </w:trPr>
        <w:tc>
          <w:tcPr>
            <w:tcW w:w="5000" w:type="dxa"/>
            <w:vAlign w:val="bottom"/>
            <w:shd w:val="clear" w:color="auto" w:fill="CCEEFF"/>
          </w:tcPr>
          <w:p>
            <w:pPr>
              <w:spacing w:after="0"/>
              <w:rPr>
                <w:sz w:val="20"/>
                <w:szCs w:val="20"/>
                <w:color w:val="auto"/>
              </w:rPr>
            </w:pPr>
            <w:r>
              <w:rPr>
                <w:rFonts w:ascii="Arial" w:cs="Arial" w:eastAsia="Arial" w:hAnsi="Arial"/>
                <w:sz w:val="20"/>
                <w:szCs w:val="20"/>
                <w:color w:val="auto"/>
              </w:rPr>
              <w:t>Other (expense) income</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167</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(227)</w:t>
            </w: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(60)</w:t>
            </w:r>
          </w:p>
        </w:tc>
        <w:tc>
          <w:tcPr>
            <w:tcW w:w="60" w:type="dxa"/>
            <w:vAlign w:val="bottom"/>
            <w:shd w:val="clear" w:color="auto" w:fill="CCEEFF"/>
          </w:tcPr>
          <w:p>
            <w:pPr>
              <w:spacing w:after="0"/>
              <w:rPr>
                <w:sz w:val="19"/>
                <w:szCs w:val="19"/>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Income before provision for income taxes</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169,713</w:t>
            </w:r>
          </w:p>
        </w:tc>
        <w:tc>
          <w:tcPr>
            <w:tcW w:w="60" w:type="dxa"/>
            <w:vAlign w:val="bottom"/>
          </w:tcPr>
          <w:p>
            <w:pPr>
              <w:spacing w:after="0"/>
              <w:rPr>
                <w:sz w:val="19"/>
                <w:szCs w:val="19"/>
                <w:color w:val="auto"/>
              </w:rPr>
            </w:pPr>
          </w:p>
        </w:tc>
      </w:tr>
      <w:tr>
        <w:trPr>
          <w:trHeight w:val="230"/>
        </w:trPr>
        <w:tc>
          <w:tcPr>
            <w:tcW w:w="5000" w:type="dxa"/>
            <w:vAlign w:val="bottom"/>
            <w:shd w:val="clear" w:color="auto" w:fill="CCEEFF"/>
          </w:tcPr>
          <w:p>
            <w:pPr>
              <w:spacing w:after="0"/>
              <w:rPr>
                <w:sz w:val="20"/>
                <w:szCs w:val="20"/>
                <w:color w:val="auto"/>
              </w:rPr>
            </w:pPr>
            <w:r>
              <w:rPr>
                <w:rFonts w:ascii="Arial" w:cs="Arial" w:eastAsia="Arial" w:hAnsi="Arial"/>
                <w:sz w:val="20"/>
                <w:szCs w:val="20"/>
                <w:color w:val="auto"/>
              </w:rPr>
              <w:t>Depreciation and amortization</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(3,910)</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(1,176)</w:t>
            </w: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(5,113)</w:t>
            </w:r>
          </w:p>
        </w:tc>
        <w:tc>
          <w:tcPr>
            <w:tcW w:w="60" w:type="dxa"/>
            <w:vAlign w:val="bottom"/>
            <w:shd w:val="clear" w:color="auto" w:fill="CCEEFF"/>
          </w:tcPr>
          <w:p>
            <w:pPr>
              <w:spacing w:after="0"/>
              <w:rPr>
                <w:sz w:val="19"/>
                <w:szCs w:val="19"/>
                <w:color w:val="auto"/>
              </w:rPr>
            </w:pPr>
          </w:p>
        </w:tc>
      </w:tr>
      <w:tr>
        <w:trPr>
          <w:trHeight w:val="250"/>
        </w:trPr>
        <w:tc>
          <w:tcPr>
            <w:tcW w:w="5000" w:type="dxa"/>
            <w:vAlign w:val="bottom"/>
          </w:tcPr>
          <w:p>
            <w:pPr>
              <w:spacing w:after="0"/>
              <w:rPr>
                <w:sz w:val="20"/>
                <w:szCs w:val="20"/>
                <w:color w:val="auto"/>
              </w:rPr>
            </w:pPr>
            <w:r>
              <w:rPr>
                <w:rFonts w:ascii="Arial" w:cs="Arial" w:eastAsia="Arial" w:hAnsi="Arial"/>
                <w:sz w:val="20"/>
                <w:szCs w:val="20"/>
                <w:color w:val="auto"/>
              </w:rPr>
              <w:t>Trademark amortization</w:t>
            </w:r>
          </w:p>
        </w:tc>
        <w:tc>
          <w:tcPr>
            <w:tcW w:w="340" w:type="dxa"/>
            <w:vAlign w:val="bottom"/>
          </w:tcPr>
          <w:p>
            <w:pPr>
              <w:spacing w:after="0"/>
              <w:rPr>
                <w:sz w:val="21"/>
                <w:szCs w:val="21"/>
                <w:color w:val="auto"/>
              </w:rPr>
            </w:pPr>
          </w:p>
        </w:tc>
        <w:tc>
          <w:tcPr>
            <w:tcW w:w="10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(11)</w:t>
            </w: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(12)</w:t>
            </w:r>
          </w:p>
        </w:tc>
        <w:tc>
          <w:tcPr>
            <w:tcW w:w="60" w:type="dxa"/>
            <w:vAlign w:val="bottom"/>
          </w:tcPr>
          <w:p>
            <w:pPr>
              <w:spacing w:after="0"/>
              <w:rPr>
                <w:sz w:val="21"/>
                <w:szCs w:val="21"/>
                <w:color w:val="auto"/>
              </w:rPr>
            </w:pPr>
          </w:p>
        </w:tc>
      </w:tr>
      <w:tr>
        <w:trPr>
          <w:trHeight w:val="438"/>
        </w:trPr>
        <w:tc>
          <w:tcPr>
            <w:tcW w:w="50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5"/>
          </w:tcPr>
          <w:p>
            <w:pPr>
              <w:ind w:left="100"/>
              <w:spacing w:after="0"/>
              <w:rPr>
                <w:sz w:val="20"/>
                <w:szCs w:val="20"/>
                <w:color w:val="auto"/>
              </w:rPr>
            </w:pPr>
            <w:r>
              <w:rPr>
                <w:rFonts w:ascii="Arial" w:cs="Arial" w:eastAsia="Arial" w:hAnsi="Arial"/>
                <w:sz w:val="20"/>
                <w:szCs w:val="20"/>
                <w:color w:val="auto"/>
                <w:w w:val="89"/>
              </w:rPr>
              <w:t>Three-Months Ended June 30, 2011</w:t>
            </w:r>
          </w:p>
        </w:tc>
        <w:tc>
          <w:tcPr>
            <w:tcW w:w="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06"/>
        </w:trPr>
        <w:tc>
          <w:tcPr>
            <w:tcW w:w="5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jc w:val="center"/>
              <w:spacing w:after="0" w:line="207" w:lineRule="exact"/>
              <w:rPr>
                <w:sz w:val="20"/>
                <w:szCs w:val="20"/>
                <w:color w:val="auto"/>
              </w:rPr>
            </w:pPr>
            <w:r>
              <w:rPr>
                <w:rFonts w:ascii="Arial" w:cs="Arial" w:eastAsia="Arial" w:hAnsi="Arial"/>
                <w:sz w:val="20"/>
                <w:szCs w:val="20"/>
                <w:color w:val="auto"/>
                <w:w w:val="89"/>
              </w:rPr>
              <w:t>Corporate and</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46"/>
        </w:trPr>
        <w:tc>
          <w:tcPr>
            <w:tcW w:w="5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20"/>
                <w:szCs w:val="20"/>
                <w:color w:val="auto"/>
              </w:rPr>
              <w:t>DSD</w:t>
            </w:r>
          </w:p>
        </w:tc>
        <w:tc>
          <w:tcPr>
            <w:tcW w:w="220" w:type="dxa"/>
            <w:vAlign w:val="bottom"/>
          </w:tcPr>
          <w:p>
            <w:pPr>
              <w:spacing w:after="0"/>
              <w:rPr>
                <w:sz w:val="21"/>
                <w:szCs w:val="21"/>
                <w:color w:val="auto"/>
              </w:rPr>
            </w:pPr>
          </w:p>
        </w:tc>
        <w:tc>
          <w:tcPr>
            <w:tcW w:w="1420" w:type="dxa"/>
            <w:vAlign w:val="bottom"/>
            <w:gridSpan w:val="2"/>
          </w:tcPr>
          <w:p>
            <w:pPr>
              <w:ind w:left="20"/>
              <w:spacing w:after="0"/>
              <w:rPr>
                <w:sz w:val="20"/>
                <w:szCs w:val="20"/>
                <w:color w:val="auto"/>
              </w:rPr>
            </w:pPr>
            <w:r>
              <w:rPr>
                <w:rFonts w:ascii="Arial" w:cs="Arial" w:eastAsia="Arial" w:hAnsi="Arial"/>
                <w:sz w:val="20"/>
                <w:szCs w:val="20"/>
                <w:color w:val="auto"/>
              </w:rPr>
              <w:t>Warehouse</w:t>
            </w:r>
          </w:p>
        </w:tc>
        <w:tc>
          <w:tcPr>
            <w:tcW w:w="1340" w:type="dxa"/>
            <w:vAlign w:val="bottom"/>
            <w:gridSpan w:val="2"/>
          </w:tcPr>
          <w:p>
            <w:pPr>
              <w:jc w:val="center"/>
              <w:spacing w:after="0"/>
              <w:rPr>
                <w:sz w:val="20"/>
                <w:szCs w:val="20"/>
                <w:color w:val="auto"/>
              </w:rPr>
            </w:pPr>
            <w:r>
              <w:rPr>
                <w:rFonts w:ascii="Arial" w:cs="Arial" w:eastAsia="Arial" w:hAnsi="Arial"/>
                <w:sz w:val="20"/>
                <w:szCs w:val="20"/>
                <w:color w:val="auto"/>
                <w:w w:val="88"/>
              </w:rPr>
              <w:t>Unallocated</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gridSpan w:val="2"/>
          </w:tcPr>
          <w:p>
            <w:pPr>
              <w:ind w:left="160"/>
              <w:spacing w:after="0"/>
              <w:rPr>
                <w:sz w:val="20"/>
                <w:szCs w:val="20"/>
                <w:color w:val="auto"/>
              </w:rPr>
            </w:pPr>
            <w:r>
              <w:rPr>
                <w:rFonts w:ascii="Arial" w:cs="Arial" w:eastAsia="Arial" w:hAnsi="Arial"/>
                <w:sz w:val="20"/>
                <w:szCs w:val="20"/>
                <w:color w:val="auto"/>
              </w:rPr>
              <w:t>Total</w:t>
            </w:r>
          </w:p>
        </w:tc>
      </w:tr>
      <w:tr>
        <w:trPr>
          <w:trHeight w:val="223"/>
        </w:trPr>
        <w:tc>
          <w:tcPr>
            <w:tcW w:w="500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Net sales</w:t>
            </w:r>
          </w:p>
        </w:tc>
        <w:tc>
          <w:tcPr>
            <w:tcW w:w="340" w:type="dxa"/>
            <w:vAlign w:val="bottom"/>
            <w:tcBorders>
              <w:top w:val="single" w:sz="8" w:color="auto"/>
            </w:tcBorders>
            <w:shd w:val="clear" w:color="auto" w:fill="CCEEFF"/>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040" w:type="dxa"/>
            <w:vAlign w:val="bottom"/>
            <w:tcBorders>
              <w:top w:val="single" w:sz="8" w:color="auto"/>
            </w:tcBorders>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436,656</w:t>
            </w:r>
          </w:p>
        </w:tc>
        <w:tc>
          <w:tcPr>
            <w:tcW w:w="2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100"/>
              <w:spacing w:after="0" w:line="223" w:lineRule="exact"/>
              <w:rPr>
                <w:sz w:val="20"/>
                <w:szCs w:val="20"/>
                <w:color w:val="auto"/>
              </w:rPr>
            </w:pPr>
            <w:r>
              <w:rPr>
                <w:rFonts w:ascii="Arial" w:cs="Arial" w:eastAsia="Arial" w:hAnsi="Arial"/>
                <w:sz w:val="20"/>
                <w:szCs w:val="20"/>
                <w:color w:val="auto"/>
                <w:w w:val="89"/>
              </w:rPr>
              <w:t>$</w:t>
            </w:r>
          </w:p>
        </w:tc>
        <w:tc>
          <w:tcPr>
            <w:tcW w:w="1140" w:type="dxa"/>
            <w:vAlign w:val="bottom"/>
            <w:tcBorders>
              <w:top w:val="single" w:sz="8" w:color="auto"/>
            </w:tcBorders>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25,489</w:t>
            </w:r>
          </w:p>
        </w:tc>
        <w:tc>
          <w:tcPr>
            <w:tcW w:w="2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100"/>
              <w:spacing w:after="0" w:line="223" w:lineRule="exact"/>
              <w:rPr>
                <w:sz w:val="20"/>
                <w:szCs w:val="20"/>
                <w:color w:val="auto"/>
              </w:rPr>
            </w:pPr>
            <w:r>
              <w:rPr>
                <w:rFonts w:ascii="Arial" w:cs="Arial" w:eastAsia="Arial" w:hAnsi="Arial"/>
                <w:sz w:val="20"/>
                <w:szCs w:val="20"/>
                <w:color w:val="auto"/>
              </w:rPr>
              <w:t>$</w:t>
            </w:r>
          </w:p>
        </w:tc>
        <w:tc>
          <w:tcPr>
            <w:tcW w:w="940" w:type="dxa"/>
            <w:vAlign w:val="bottom"/>
            <w:tcBorders>
              <w:top w:val="single" w:sz="8" w:color="auto"/>
            </w:tcBorders>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2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08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462,145</w:t>
            </w:r>
          </w:p>
        </w:tc>
        <w:tc>
          <w:tcPr>
            <w:tcW w:w="60" w:type="dxa"/>
            <w:vAlign w:val="bottom"/>
            <w:tcBorders>
              <w:top w:val="single" w:sz="8" w:color="CCEEFF"/>
            </w:tcBorders>
            <w:shd w:val="clear" w:color="auto" w:fill="CCEEFF"/>
          </w:tcPr>
          <w:p>
            <w:pPr>
              <w:spacing w:after="0"/>
              <w:rPr>
                <w:sz w:val="19"/>
                <w:szCs w:val="19"/>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Contribution margin</w:t>
            </w:r>
          </w:p>
        </w:tc>
        <w:tc>
          <w:tcPr>
            <w:tcW w:w="34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20"/>
                <w:szCs w:val="20"/>
                <w:color w:val="auto"/>
              </w:rPr>
              <w:t>150,456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21"/>
              <w:spacing w:after="0"/>
              <w:rPr>
                <w:sz w:val="20"/>
                <w:szCs w:val="20"/>
                <w:color w:val="auto"/>
              </w:rPr>
            </w:pPr>
            <w:r>
              <w:rPr>
                <w:rFonts w:ascii="Arial" w:cs="Arial" w:eastAsia="Arial" w:hAnsi="Arial"/>
                <w:sz w:val="20"/>
                <w:szCs w:val="20"/>
                <w:color w:val="auto"/>
              </w:rPr>
              <w:t>1,403</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151,859</w:t>
            </w:r>
          </w:p>
        </w:tc>
        <w:tc>
          <w:tcPr>
            <w:tcW w:w="60" w:type="dxa"/>
            <w:vAlign w:val="bottom"/>
          </w:tcPr>
          <w:p>
            <w:pPr>
              <w:spacing w:after="0"/>
              <w:rPr>
                <w:sz w:val="19"/>
                <w:szCs w:val="19"/>
                <w:color w:val="auto"/>
              </w:rPr>
            </w:pPr>
          </w:p>
        </w:tc>
      </w:tr>
      <w:tr>
        <w:trPr>
          <w:trHeight w:val="230"/>
        </w:trPr>
        <w:tc>
          <w:tcPr>
            <w:tcW w:w="5000" w:type="dxa"/>
            <w:vAlign w:val="bottom"/>
            <w:shd w:val="clear" w:color="auto" w:fill="CCEEFF"/>
          </w:tcPr>
          <w:p>
            <w:pPr>
              <w:spacing w:after="0"/>
              <w:rPr>
                <w:sz w:val="20"/>
                <w:szCs w:val="20"/>
                <w:color w:val="auto"/>
              </w:rPr>
            </w:pPr>
            <w:r>
              <w:rPr>
                <w:rFonts w:ascii="Arial" w:cs="Arial" w:eastAsia="Arial" w:hAnsi="Arial"/>
                <w:sz w:val="20"/>
                <w:szCs w:val="20"/>
                <w:color w:val="auto"/>
              </w:rPr>
              <w:t>Corporate and unallocated expenses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(19,377)</w:t>
            </w: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(19,377)</w:t>
            </w:r>
          </w:p>
        </w:tc>
        <w:tc>
          <w:tcPr>
            <w:tcW w:w="60" w:type="dxa"/>
            <w:vAlign w:val="bottom"/>
            <w:shd w:val="clear" w:color="auto" w:fill="CCEEFF"/>
          </w:tcPr>
          <w:p>
            <w:pPr>
              <w:spacing w:after="0"/>
              <w:rPr>
                <w:sz w:val="19"/>
                <w:szCs w:val="19"/>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Operating income</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132,482</w:t>
            </w:r>
          </w:p>
        </w:tc>
        <w:tc>
          <w:tcPr>
            <w:tcW w:w="60" w:type="dxa"/>
            <w:vAlign w:val="bottom"/>
          </w:tcPr>
          <w:p>
            <w:pPr>
              <w:spacing w:after="0"/>
              <w:rPr>
                <w:sz w:val="19"/>
                <w:szCs w:val="19"/>
                <w:color w:val="auto"/>
              </w:rPr>
            </w:pPr>
          </w:p>
        </w:tc>
      </w:tr>
      <w:tr>
        <w:trPr>
          <w:trHeight w:val="230"/>
        </w:trPr>
        <w:tc>
          <w:tcPr>
            <w:tcW w:w="5000" w:type="dxa"/>
            <w:vAlign w:val="bottom"/>
            <w:shd w:val="clear" w:color="auto" w:fill="CCEEFF"/>
          </w:tcPr>
          <w:p>
            <w:pPr>
              <w:spacing w:after="0"/>
              <w:rPr>
                <w:sz w:val="20"/>
                <w:szCs w:val="20"/>
                <w:color w:val="auto"/>
              </w:rPr>
            </w:pPr>
            <w:r>
              <w:rPr>
                <w:rFonts w:ascii="Arial" w:cs="Arial" w:eastAsia="Arial" w:hAnsi="Arial"/>
                <w:sz w:val="20"/>
                <w:szCs w:val="20"/>
                <w:color w:val="auto"/>
              </w:rPr>
              <w:t>Other (expense) income</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(21)</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295</w:t>
            </w: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274</w:t>
            </w:r>
          </w:p>
        </w:tc>
        <w:tc>
          <w:tcPr>
            <w:tcW w:w="60" w:type="dxa"/>
            <w:vAlign w:val="bottom"/>
            <w:shd w:val="clear" w:color="auto" w:fill="CCEEFF"/>
          </w:tcPr>
          <w:p>
            <w:pPr>
              <w:spacing w:after="0"/>
              <w:rPr>
                <w:sz w:val="19"/>
                <w:szCs w:val="19"/>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Income before provision for income taxes</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132,756</w:t>
            </w:r>
          </w:p>
        </w:tc>
        <w:tc>
          <w:tcPr>
            <w:tcW w:w="60" w:type="dxa"/>
            <w:vAlign w:val="bottom"/>
          </w:tcPr>
          <w:p>
            <w:pPr>
              <w:spacing w:after="0"/>
              <w:rPr>
                <w:sz w:val="19"/>
                <w:szCs w:val="19"/>
                <w:color w:val="auto"/>
              </w:rPr>
            </w:pPr>
          </w:p>
        </w:tc>
      </w:tr>
      <w:tr>
        <w:trPr>
          <w:trHeight w:val="230"/>
        </w:trPr>
        <w:tc>
          <w:tcPr>
            <w:tcW w:w="5000" w:type="dxa"/>
            <w:vAlign w:val="bottom"/>
            <w:shd w:val="clear" w:color="auto" w:fill="CCEEFF"/>
          </w:tcPr>
          <w:p>
            <w:pPr>
              <w:spacing w:after="0"/>
              <w:rPr>
                <w:sz w:val="20"/>
                <w:szCs w:val="20"/>
                <w:color w:val="auto"/>
              </w:rPr>
            </w:pPr>
            <w:r>
              <w:rPr>
                <w:rFonts w:ascii="Arial" w:cs="Arial" w:eastAsia="Arial" w:hAnsi="Arial"/>
                <w:sz w:val="20"/>
                <w:szCs w:val="20"/>
                <w:color w:val="auto"/>
              </w:rPr>
              <w:t>Depreciation and amortization</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(3,072)</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(999)</w:t>
            </w: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(4,091)</w:t>
            </w:r>
          </w:p>
        </w:tc>
        <w:tc>
          <w:tcPr>
            <w:tcW w:w="60" w:type="dxa"/>
            <w:vAlign w:val="bottom"/>
            <w:shd w:val="clear" w:color="auto" w:fill="CCEEFF"/>
          </w:tcPr>
          <w:p>
            <w:pPr>
              <w:spacing w:after="0"/>
              <w:rPr>
                <w:sz w:val="19"/>
                <w:szCs w:val="19"/>
                <w:color w:val="auto"/>
              </w:rPr>
            </w:pPr>
          </w:p>
        </w:tc>
      </w:tr>
      <w:tr>
        <w:trPr>
          <w:trHeight w:val="250"/>
        </w:trPr>
        <w:tc>
          <w:tcPr>
            <w:tcW w:w="5000" w:type="dxa"/>
            <w:vAlign w:val="bottom"/>
          </w:tcPr>
          <w:p>
            <w:pPr>
              <w:spacing w:after="0"/>
              <w:rPr>
                <w:sz w:val="20"/>
                <w:szCs w:val="20"/>
                <w:color w:val="auto"/>
              </w:rPr>
            </w:pPr>
            <w:r>
              <w:rPr>
                <w:rFonts w:ascii="Arial" w:cs="Arial" w:eastAsia="Arial" w:hAnsi="Arial"/>
                <w:sz w:val="20"/>
                <w:szCs w:val="20"/>
                <w:color w:val="auto"/>
              </w:rPr>
              <w:t>Trademark amortization</w:t>
            </w:r>
          </w:p>
        </w:tc>
        <w:tc>
          <w:tcPr>
            <w:tcW w:w="340" w:type="dxa"/>
            <w:vAlign w:val="bottom"/>
          </w:tcPr>
          <w:p>
            <w:pPr>
              <w:spacing w:after="0"/>
              <w:rPr>
                <w:sz w:val="21"/>
                <w:szCs w:val="21"/>
                <w:color w:val="auto"/>
              </w:rPr>
            </w:pPr>
          </w:p>
        </w:tc>
        <w:tc>
          <w:tcPr>
            <w:tcW w:w="10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(11)</w:t>
            </w: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(12)</w:t>
            </w:r>
          </w:p>
        </w:tc>
        <w:tc>
          <w:tcPr>
            <w:tcW w:w="60" w:type="dxa"/>
            <w:vAlign w:val="bottom"/>
          </w:tcPr>
          <w:p>
            <w:pPr>
              <w:spacing w:after="0"/>
              <w:rPr>
                <w:sz w:val="21"/>
                <w:szCs w:val="21"/>
                <w:color w:val="auto"/>
              </w:rPr>
            </w:pPr>
          </w:p>
        </w:tc>
      </w:tr>
    </w:tbl>
    <w:p>
      <w:pPr>
        <w:spacing w:after="0" w:line="201"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Revenue is derived from sales to external customers. Operating expenses that pertain to each segment are allocated to the appropriate segment.</w:t>
      </w:r>
    </w:p>
    <w:p>
      <w:pPr>
        <w:spacing w:after="0" w:line="20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Corporate and unallocated expenses were $27.6 million for the three-months ended June 30, 2012 and included $17.9 million of payroll costs, of which $7.1 million was attributable to stock-based compensation expense (see Note 12, “Stock-Based Compensation”), $4.4 million attributable to professional service expenses, including accounting and legal costs, and $5.3 million</w:t>
      </w:r>
    </w:p>
    <w:p>
      <w:pPr>
        <w:sectPr>
          <w:pgSz w:w="11900" w:h="16877" w:orient="portrait"/>
          <w:cols w:equalWidth="0" w:num="1">
            <w:col w:w="11420"/>
          </w:cols>
          <w:pgMar w:left="240" w:top="361" w:right="239" w:bottom="0" w:gutter="0" w:footer="0" w:header="0"/>
        </w:sectPr>
      </w:pPr>
    </w:p>
    <w:bookmarkStart w:id="17" w:name="page18"/>
    <w:bookmarkEnd w:id="17"/>
    <w:p>
      <w:pPr>
        <w:jc w:val="both"/>
        <w:ind w:right="40"/>
        <w:spacing w:after="0" w:line="241" w:lineRule="auto"/>
        <w:rPr>
          <w:sz w:val="20"/>
          <w:szCs w:val="20"/>
          <w:color w:val="auto"/>
        </w:rPr>
      </w:pPr>
      <w:r>
        <w:rPr>
          <w:rFonts w:ascii="Arial" w:cs="Arial" w:eastAsia="Arial" w:hAnsi="Arial"/>
          <w:sz w:val="22"/>
          <w:szCs w:val="22"/>
          <w:color w:val="auto"/>
        </w:rPr>
        <w:t>of other operating expenses. Corporate and unallocated expenses were $19.4 million for the three-months ended June 30, 2011 and included $12.3 million of payroll costs, of which $4.1 million was attributable to stock-based compensation expense (see Note 12, “Stock-Based Compensation”), $3.4</w:t>
      </w:r>
    </w:p>
    <w:p>
      <w:pPr>
        <w:spacing w:after="0" w:line="19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8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1" w:lineRule="exact"/>
        <w:rPr>
          <w:sz w:val="20"/>
          <w:szCs w:val="20"/>
          <w:color w:val="auto"/>
        </w:rPr>
      </w:pPr>
    </w:p>
    <w:p>
      <w:pPr>
        <w:jc w:val="both"/>
        <w:ind w:right="40"/>
        <w:spacing w:after="0"/>
        <w:rPr>
          <w:sz w:val="20"/>
          <w:szCs w:val="20"/>
          <w:color w:val="auto"/>
        </w:rPr>
      </w:pPr>
      <w:r>
        <w:rPr>
          <w:rFonts w:ascii="Arial" w:cs="Arial" w:eastAsia="Arial" w:hAnsi="Arial"/>
          <w:sz w:val="22"/>
          <w:szCs w:val="22"/>
          <w:color w:val="auto"/>
        </w:rPr>
        <w:t>million attributable to professional service expenses, including accounting and legal costs, and $3.7 million of other operating expenses. Certain items, including operating assets and income taxes, are not allocated to individual segments and therefore are not presented above.</w:t>
      </w:r>
    </w:p>
    <w:p>
      <w:pPr>
        <w:spacing w:after="0" w:line="213" w:lineRule="exact"/>
        <w:rPr>
          <w:sz w:val="20"/>
          <w:szCs w:val="20"/>
          <w:color w:val="auto"/>
        </w:rPr>
      </w:pPr>
    </w:p>
    <w:p>
      <w:pPr>
        <w:jc w:val="both"/>
        <w:ind w:right="40" w:firstLine="648"/>
        <w:spacing w:after="0" w:line="251" w:lineRule="auto"/>
        <w:rPr>
          <w:sz w:val="20"/>
          <w:szCs w:val="20"/>
          <w:color w:val="auto"/>
        </w:rPr>
      </w:pPr>
      <w:r>
        <w:rPr>
          <w:rFonts w:ascii="Arial" w:cs="Arial" w:eastAsia="Arial" w:hAnsi="Arial"/>
          <w:sz w:val="22"/>
          <w:szCs w:val="22"/>
          <w:color w:val="auto"/>
        </w:rPr>
        <w:t>Coca-Cola Refreshments, a customer of the DSD segment, accounted for approximately 28% and 30% of the Company’s net sales for the three-months ended June 30, 2012 and 2011, respectively.</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Net sales to customers outside the United States amounted to $124.4 million and $78.1 million for the three-months ended</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June 30, 2012 and 2011, respectively. Such sales were approximately 21.0% and 16.9% of net sales for the three-months ended</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June 30, 2012 and 2011, respectively.</w:t>
      </w:r>
    </w:p>
    <w:p>
      <w:pPr>
        <w:spacing w:after="0" w:line="215" w:lineRule="exact"/>
        <w:rPr>
          <w:sz w:val="20"/>
          <w:szCs w:val="20"/>
          <w:color w:val="auto"/>
        </w:rPr>
      </w:pPr>
    </w:p>
    <w:p>
      <w:pPr>
        <w:jc w:val="both"/>
        <w:ind w:right="40" w:firstLine="648"/>
        <w:spacing w:after="0" w:line="251" w:lineRule="auto"/>
        <w:rPr>
          <w:sz w:val="20"/>
          <w:szCs w:val="20"/>
          <w:color w:val="auto"/>
        </w:rPr>
      </w:pPr>
      <w:r>
        <w:rPr>
          <w:rFonts w:ascii="Arial" w:cs="Arial" w:eastAsia="Arial" w:hAnsi="Arial"/>
          <w:sz w:val="22"/>
          <w:szCs w:val="22"/>
          <w:color w:val="auto"/>
        </w:rPr>
        <w:t>The net revenues derived from the DSD and Warehouse segments and other financial information related thereto are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0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040" w:type="dxa"/>
            <w:vAlign w:val="bottom"/>
            <w:tcBorders>
              <w:bottom w:val="single" w:sz="8" w:color="auto"/>
            </w:tcBorders>
            <w:gridSpan w:val="5"/>
          </w:tcPr>
          <w:p>
            <w:pPr>
              <w:spacing w:after="0"/>
              <w:rPr>
                <w:sz w:val="20"/>
                <w:szCs w:val="20"/>
                <w:color w:val="auto"/>
              </w:rPr>
            </w:pPr>
            <w:r>
              <w:rPr>
                <w:rFonts w:ascii="Arial" w:cs="Arial" w:eastAsia="Arial" w:hAnsi="Arial"/>
                <w:sz w:val="20"/>
                <w:szCs w:val="20"/>
                <w:color w:val="auto"/>
              </w:rPr>
              <w:t>Six-Months Ended June 30, 2012</w:t>
            </w:r>
          </w:p>
        </w:tc>
        <w:tc>
          <w:tcPr>
            <w:tcW w:w="3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r>
      <w:tr>
        <w:trPr>
          <w:trHeight w:val="206"/>
        </w:trPr>
        <w:tc>
          <w:tcPr>
            <w:tcW w:w="5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3"/>
          </w:tcPr>
          <w:p>
            <w:pPr>
              <w:ind w:left="120"/>
              <w:spacing w:after="0" w:line="207" w:lineRule="exact"/>
              <w:rPr>
                <w:sz w:val="20"/>
                <w:szCs w:val="20"/>
                <w:color w:val="auto"/>
              </w:rPr>
            </w:pPr>
            <w:r>
              <w:rPr>
                <w:rFonts w:ascii="Arial" w:cs="Arial" w:eastAsia="Arial" w:hAnsi="Arial"/>
                <w:sz w:val="20"/>
                <w:szCs w:val="20"/>
                <w:color w:val="auto"/>
              </w:rPr>
              <w:t>Corporate and</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46"/>
        </w:trPr>
        <w:tc>
          <w:tcPr>
            <w:tcW w:w="5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20"/>
                <w:szCs w:val="20"/>
                <w:color w:val="auto"/>
              </w:rPr>
              <w:t>DSD</w:t>
            </w:r>
          </w:p>
        </w:tc>
        <w:tc>
          <w:tcPr>
            <w:tcW w:w="200" w:type="dxa"/>
            <w:vAlign w:val="bottom"/>
          </w:tcPr>
          <w:p>
            <w:pPr>
              <w:spacing w:after="0"/>
              <w:rPr>
                <w:sz w:val="21"/>
                <w:szCs w:val="21"/>
                <w:color w:val="auto"/>
              </w:rPr>
            </w:pPr>
          </w:p>
        </w:tc>
        <w:tc>
          <w:tcPr>
            <w:tcW w:w="1420" w:type="dxa"/>
            <w:vAlign w:val="bottom"/>
            <w:gridSpan w:val="2"/>
          </w:tcPr>
          <w:p>
            <w:pPr>
              <w:ind w:left="40"/>
              <w:spacing w:after="0"/>
              <w:rPr>
                <w:sz w:val="20"/>
                <w:szCs w:val="20"/>
                <w:color w:val="auto"/>
              </w:rPr>
            </w:pPr>
            <w:r>
              <w:rPr>
                <w:rFonts w:ascii="Arial" w:cs="Arial" w:eastAsia="Arial" w:hAnsi="Arial"/>
                <w:sz w:val="20"/>
                <w:szCs w:val="20"/>
                <w:color w:val="auto"/>
              </w:rPr>
              <w:t>Warehouse</w:t>
            </w:r>
          </w:p>
        </w:tc>
        <w:tc>
          <w:tcPr>
            <w:tcW w:w="1620" w:type="dxa"/>
            <w:vAlign w:val="bottom"/>
            <w:gridSpan w:val="3"/>
          </w:tcPr>
          <w:p>
            <w:pPr>
              <w:ind w:left="200"/>
              <w:spacing w:after="0"/>
              <w:rPr>
                <w:sz w:val="20"/>
                <w:szCs w:val="20"/>
                <w:color w:val="auto"/>
              </w:rPr>
            </w:pPr>
            <w:r>
              <w:rPr>
                <w:rFonts w:ascii="Arial" w:cs="Arial" w:eastAsia="Arial" w:hAnsi="Arial"/>
                <w:sz w:val="20"/>
                <w:szCs w:val="20"/>
                <w:color w:val="auto"/>
              </w:rPr>
              <w:t>Unallocated</w:t>
            </w:r>
          </w:p>
        </w:tc>
        <w:tc>
          <w:tcPr>
            <w:tcW w:w="380" w:type="dxa"/>
            <w:vAlign w:val="bottom"/>
          </w:tcPr>
          <w:p>
            <w:pPr>
              <w:spacing w:after="0"/>
              <w:rPr>
                <w:sz w:val="21"/>
                <w:szCs w:val="21"/>
                <w:color w:val="auto"/>
              </w:rPr>
            </w:pPr>
          </w:p>
        </w:tc>
        <w:tc>
          <w:tcPr>
            <w:tcW w:w="1140" w:type="dxa"/>
            <w:vAlign w:val="bottom"/>
          </w:tcPr>
          <w:p>
            <w:pPr>
              <w:jc w:val="right"/>
              <w:ind w:right="481"/>
              <w:spacing w:after="0"/>
              <w:rPr>
                <w:sz w:val="20"/>
                <w:szCs w:val="20"/>
                <w:color w:val="auto"/>
              </w:rPr>
            </w:pPr>
            <w:r>
              <w:rPr>
                <w:rFonts w:ascii="Arial" w:cs="Arial" w:eastAsia="Arial" w:hAnsi="Arial"/>
                <w:sz w:val="20"/>
                <w:szCs w:val="20"/>
                <w:color w:val="auto"/>
              </w:rPr>
              <w:t>Total</w:t>
            </w:r>
          </w:p>
        </w:tc>
        <w:tc>
          <w:tcPr>
            <w:tcW w:w="40" w:type="dxa"/>
            <w:vAlign w:val="bottom"/>
          </w:tcPr>
          <w:p>
            <w:pPr>
              <w:spacing w:after="0"/>
              <w:rPr>
                <w:sz w:val="21"/>
                <w:szCs w:val="21"/>
                <w:color w:val="auto"/>
              </w:rPr>
            </w:pPr>
          </w:p>
        </w:tc>
      </w:tr>
      <w:tr>
        <w:trPr>
          <w:trHeight w:val="223"/>
        </w:trPr>
        <w:tc>
          <w:tcPr>
            <w:tcW w:w="500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Net sales</w:t>
            </w:r>
          </w:p>
        </w:tc>
        <w:tc>
          <w:tcPr>
            <w:tcW w:w="340" w:type="dxa"/>
            <w:vAlign w:val="bottom"/>
            <w:tcBorders>
              <w:top w:val="single" w:sz="8" w:color="auto"/>
            </w:tcBorders>
            <w:shd w:val="clear" w:color="auto" w:fill="CCEEFF"/>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020" w:type="dxa"/>
            <w:vAlign w:val="bottom"/>
            <w:tcBorders>
              <w:top w:val="single" w:sz="8" w:color="auto"/>
            </w:tcBorders>
            <w:shd w:val="clear" w:color="auto" w:fill="CCEEFF"/>
          </w:tcPr>
          <w:p>
            <w:pPr>
              <w:jc w:val="right"/>
              <w:ind w:right="22"/>
              <w:spacing w:after="0" w:line="223" w:lineRule="exact"/>
              <w:rPr>
                <w:sz w:val="20"/>
                <w:szCs w:val="20"/>
                <w:color w:val="auto"/>
              </w:rPr>
            </w:pPr>
            <w:r>
              <w:rPr>
                <w:rFonts w:ascii="Arial" w:cs="Arial" w:eastAsia="Arial" w:hAnsi="Arial"/>
                <w:sz w:val="20"/>
                <w:szCs w:val="20"/>
                <w:color w:val="auto"/>
              </w:rPr>
              <w:t>999,208</w:t>
            </w:r>
          </w:p>
        </w:tc>
        <w:tc>
          <w:tcPr>
            <w:tcW w:w="3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1140" w:type="dxa"/>
            <w:vAlign w:val="bottom"/>
            <w:tcBorders>
              <w:top w:val="single" w:sz="8" w:color="auto"/>
            </w:tcBorders>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48,037</w:t>
            </w:r>
          </w:p>
        </w:tc>
        <w:tc>
          <w:tcPr>
            <w:tcW w:w="2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100"/>
              <w:spacing w:after="0" w:line="223" w:lineRule="exact"/>
              <w:rPr>
                <w:sz w:val="20"/>
                <w:szCs w:val="20"/>
                <w:color w:val="auto"/>
              </w:rPr>
            </w:pPr>
            <w:r>
              <w:rPr>
                <w:rFonts w:ascii="Arial" w:cs="Arial" w:eastAsia="Arial" w:hAnsi="Arial"/>
                <w:sz w:val="20"/>
                <w:szCs w:val="20"/>
                <w:color w:val="auto"/>
              </w:rPr>
              <w:t>$</w:t>
            </w:r>
          </w:p>
        </w:tc>
        <w:tc>
          <w:tcPr>
            <w:tcW w:w="940" w:type="dxa"/>
            <w:vAlign w:val="bottom"/>
            <w:tcBorders>
              <w:top w:val="single" w:sz="8" w:color="auto"/>
            </w:tcBorders>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2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81"/>
              <w:spacing w:after="0" w:line="223" w:lineRule="exact"/>
              <w:rPr>
                <w:sz w:val="20"/>
                <w:szCs w:val="20"/>
                <w:color w:val="auto"/>
              </w:rPr>
            </w:pPr>
            <w:r>
              <w:rPr>
                <w:rFonts w:ascii="Arial" w:cs="Arial" w:eastAsia="Arial" w:hAnsi="Arial"/>
                <w:sz w:val="20"/>
                <w:szCs w:val="20"/>
                <w:color w:val="auto"/>
                <w:w w:val="71"/>
              </w:rPr>
              <w:t>$</w:t>
            </w:r>
          </w:p>
        </w:tc>
        <w:tc>
          <w:tcPr>
            <w:tcW w:w="1140" w:type="dxa"/>
            <w:vAlign w:val="bottom"/>
            <w:tcBorders>
              <w:top w:val="single" w:sz="8" w:color="auto"/>
              <w:right w:val="single" w:sz="8" w:color="CCEEFF"/>
            </w:tcBorders>
            <w:shd w:val="clear" w:color="auto" w:fill="CCEEFF"/>
          </w:tcPr>
          <w:p>
            <w:pPr>
              <w:jc w:val="right"/>
              <w:ind w:right="61"/>
              <w:spacing w:after="0" w:line="223" w:lineRule="exact"/>
              <w:rPr>
                <w:sz w:val="20"/>
                <w:szCs w:val="20"/>
                <w:color w:val="auto"/>
              </w:rPr>
            </w:pPr>
            <w:r>
              <w:rPr>
                <w:rFonts w:ascii="Arial" w:cs="Arial" w:eastAsia="Arial" w:hAnsi="Arial"/>
                <w:sz w:val="20"/>
                <w:szCs w:val="20"/>
                <w:color w:val="auto"/>
              </w:rPr>
              <w:t>1,047,245</w:t>
            </w:r>
          </w:p>
        </w:tc>
        <w:tc>
          <w:tcPr>
            <w:tcW w:w="40" w:type="dxa"/>
            <w:vAlign w:val="bottom"/>
          </w:tcPr>
          <w:p>
            <w:pPr>
              <w:spacing w:after="0"/>
              <w:rPr>
                <w:sz w:val="19"/>
                <w:szCs w:val="19"/>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Contribution margin</w:t>
            </w:r>
          </w:p>
        </w:tc>
        <w:tc>
          <w:tcPr>
            <w:tcW w:w="340" w:type="dxa"/>
            <w:vAlign w:val="bottom"/>
          </w:tcPr>
          <w:p>
            <w:pPr>
              <w:spacing w:after="0"/>
              <w:rPr>
                <w:sz w:val="19"/>
                <w:szCs w:val="19"/>
                <w:color w:val="auto"/>
              </w:rPr>
            </w:pPr>
          </w:p>
        </w:tc>
        <w:tc>
          <w:tcPr>
            <w:tcW w:w="1020" w:type="dxa"/>
            <w:vAlign w:val="bottom"/>
          </w:tcPr>
          <w:p>
            <w:pPr>
              <w:jc w:val="right"/>
              <w:ind w:right="22"/>
              <w:spacing w:after="0"/>
              <w:rPr>
                <w:sz w:val="20"/>
                <w:szCs w:val="20"/>
                <w:color w:val="auto"/>
              </w:rPr>
            </w:pPr>
            <w:r>
              <w:rPr>
                <w:rFonts w:ascii="Arial" w:cs="Arial" w:eastAsia="Arial" w:hAnsi="Arial"/>
                <w:sz w:val="20"/>
                <w:szCs w:val="20"/>
                <w:color w:val="auto"/>
              </w:rPr>
              <w:t>344,862</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21"/>
              <w:spacing w:after="0"/>
              <w:rPr>
                <w:sz w:val="20"/>
                <w:szCs w:val="20"/>
                <w:color w:val="auto"/>
              </w:rPr>
            </w:pPr>
            <w:r>
              <w:rPr>
                <w:rFonts w:ascii="Arial" w:cs="Arial" w:eastAsia="Arial" w:hAnsi="Arial"/>
                <w:sz w:val="20"/>
                <w:szCs w:val="20"/>
                <w:color w:val="auto"/>
              </w:rPr>
              <w:t>3,779</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ind w:right="61"/>
              <w:spacing w:after="0"/>
              <w:rPr>
                <w:sz w:val="20"/>
                <w:szCs w:val="20"/>
                <w:color w:val="auto"/>
              </w:rPr>
            </w:pPr>
            <w:r>
              <w:rPr>
                <w:rFonts w:ascii="Arial" w:cs="Arial" w:eastAsia="Arial" w:hAnsi="Arial"/>
                <w:sz w:val="20"/>
                <w:szCs w:val="20"/>
                <w:color w:val="auto"/>
              </w:rPr>
              <w:t>348,641</w:t>
            </w:r>
          </w:p>
        </w:tc>
        <w:tc>
          <w:tcPr>
            <w:tcW w:w="40" w:type="dxa"/>
            <w:vAlign w:val="bottom"/>
          </w:tcPr>
          <w:p>
            <w:pPr>
              <w:spacing w:after="0"/>
              <w:rPr>
                <w:sz w:val="19"/>
                <w:szCs w:val="19"/>
                <w:color w:val="auto"/>
              </w:rPr>
            </w:pPr>
          </w:p>
        </w:tc>
      </w:tr>
      <w:tr>
        <w:trPr>
          <w:trHeight w:val="230"/>
        </w:trPr>
        <w:tc>
          <w:tcPr>
            <w:tcW w:w="5000" w:type="dxa"/>
            <w:vAlign w:val="bottom"/>
            <w:shd w:val="clear" w:color="auto" w:fill="CCEEFF"/>
          </w:tcPr>
          <w:p>
            <w:pPr>
              <w:spacing w:after="0"/>
              <w:rPr>
                <w:sz w:val="20"/>
                <w:szCs w:val="20"/>
                <w:color w:val="auto"/>
              </w:rPr>
            </w:pPr>
            <w:r>
              <w:rPr>
                <w:rFonts w:ascii="Arial" w:cs="Arial" w:eastAsia="Arial" w:hAnsi="Arial"/>
                <w:sz w:val="20"/>
                <w:szCs w:val="20"/>
                <w:color w:val="auto"/>
              </w:rPr>
              <w:t>Corporate and unallocated expenses</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2"/>
              <w:spacing w:after="0"/>
              <w:rPr>
                <w:sz w:val="20"/>
                <w:szCs w:val="20"/>
                <w:color w:val="auto"/>
              </w:rPr>
            </w:pPr>
            <w:r>
              <w:rPr>
                <w:rFonts w:ascii="Arial" w:cs="Arial" w:eastAsia="Arial" w:hAnsi="Arial"/>
                <w:sz w:val="20"/>
                <w:szCs w:val="20"/>
                <w:color w:val="auto"/>
              </w:rPr>
              <w:t>-</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(52,582)</w:t>
            </w:r>
          </w:p>
        </w:tc>
        <w:tc>
          <w:tcPr>
            <w:tcW w:w="2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tcBorders>
              <w:right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(52,582)</w:t>
            </w:r>
          </w:p>
        </w:tc>
        <w:tc>
          <w:tcPr>
            <w:tcW w:w="40" w:type="dxa"/>
            <w:vAlign w:val="bottom"/>
          </w:tcPr>
          <w:p>
            <w:pPr>
              <w:spacing w:after="0"/>
              <w:rPr>
                <w:sz w:val="19"/>
                <w:szCs w:val="19"/>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Operating income</w:t>
            </w: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ind w:right="61"/>
              <w:spacing w:after="0"/>
              <w:rPr>
                <w:sz w:val="20"/>
                <w:szCs w:val="20"/>
                <w:color w:val="auto"/>
              </w:rPr>
            </w:pPr>
            <w:r>
              <w:rPr>
                <w:rFonts w:ascii="Arial" w:cs="Arial" w:eastAsia="Arial" w:hAnsi="Arial"/>
                <w:sz w:val="20"/>
                <w:szCs w:val="20"/>
                <w:color w:val="auto"/>
              </w:rPr>
              <w:t>296,059</w:t>
            </w:r>
          </w:p>
        </w:tc>
        <w:tc>
          <w:tcPr>
            <w:tcW w:w="40" w:type="dxa"/>
            <w:vAlign w:val="bottom"/>
          </w:tcPr>
          <w:p>
            <w:pPr>
              <w:spacing w:after="0"/>
              <w:rPr>
                <w:sz w:val="19"/>
                <w:szCs w:val="19"/>
                <w:color w:val="auto"/>
              </w:rPr>
            </w:pPr>
          </w:p>
        </w:tc>
      </w:tr>
      <w:tr>
        <w:trPr>
          <w:trHeight w:val="230"/>
        </w:trPr>
        <w:tc>
          <w:tcPr>
            <w:tcW w:w="5000" w:type="dxa"/>
            <w:vAlign w:val="bottom"/>
            <w:shd w:val="clear" w:color="auto" w:fill="CCEEFF"/>
          </w:tcPr>
          <w:p>
            <w:pPr>
              <w:spacing w:after="0"/>
              <w:rPr>
                <w:sz w:val="20"/>
                <w:szCs w:val="20"/>
                <w:color w:val="auto"/>
              </w:rPr>
            </w:pPr>
            <w:r>
              <w:rPr>
                <w:rFonts w:ascii="Arial" w:cs="Arial" w:eastAsia="Arial" w:hAnsi="Arial"/>
                <w:sz w:val="20"/>
                <w:szCs w:val="20"/>
                <w:color w:val="auto"/>
              </w:rPr>
              <w:t>Other (expense) income</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2"/>
              <w:spacing w:after="0"/>
              <w:rPr>
                <w:sz w:val="20"/>
                <w:szCs w:val="20"/>
                <w:color w:val="auto"/>
              </w:rPr>
            </w:pPr>
            <w:r>
              <w:rPr>
                <w:rFonts w:ascii="Arial" w:cs="Arial" w:eastAsia="Arial" w:hAnsi="Arial"/>
                <w:sz w:val="20"/>
                <w:szCs w:val="20"/>
                <w:color w:val="auto"/>
              </w:rPr>
              <w:t>267</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19</w:t>
            </w:r>
          </w:p>
        </w:tc>
        <w:tc>
          <w:tcPr>
            <w:tcW w:w="2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tcBorders>
              <w:right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286</w:t>
            </w:r>
          </w:p>
        </w:tc>
        <w:tc>
          <w:tcPr>
            <w:tcW w:w="40" w:type="dxa"/>
            <w:vAlign w:val="bottom"/>
          </w:tcPr>
          <w:p>
            <w:pPr>
              <w:spacing w:after="0"/>
              <w:rPr>
                <w:sz w:val="19"/>
                <w:szCs w:val="19"/>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Income before provision for income taxes</w:t>
            </w: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ind w:right="61"/>
              <w:spacing w:after="0"/>
              <w:rPr>
                <w:sz w:val="20"/>
                <w:szCs w:val="20"/>
                <w:color w:val="auto"/>
              </w:rPr>
            </w:pPr>
            <w:r>
              <w:rPr>
                <w:rFonts w:ascii="Arial" w:cs="Arial" w:eastAsia="Arial" w:hAnsi="Arial"/>
                <w:sz w:val="20"/>
                <w:szCs w:val="20"/>
                <w:color w:val="auto"/>
              </w:rPr>
              <w:t>296,345</w:t>
            </w:r>
          </w:p>
        </w:tc>
        <w:tc>
          <w:tcPr>
            <w:tcW w:w="40" w:type="dxa"/>
            <w:vAlign w:val="bottom"/>
          </w:tcPr>
          <w:p>
            <w:pPr>
              <w:spacing w:after="0"/>
              <w:rPr>
                <w:sz w:val="19"/>
                <w:szCs w:val="19"/>
                <w:color w:val="auto"/>
              </w:rPr>
            </w:pPr>
          </w:p>
        </w:tc>
      </w:tr>
      <w:tr>
        <w:trPr>
          <w:trHeight w:val="230"/>
        </w:trPr>
        <w:tc>
          <w:tcPr>
            <w:tcW w:w="5000" w:type="dxa"/>
            <w:vAlign w:val="bottom"/>
            <w:shd w:val="clear" w:color="auto" w:fill="CCEEFF"/>
          </w:tcPr>
          <w:p>
            <w:pPr>
              <w:spacing w:after="0"/>
              <w:rPr>
                <w:sz w:val="20"/>
                <w:szCs w:val="20"/>
                <w:color w:val="auto"/>
              </w:rPr>
            </w:pPr>
            <w:r>
              <w:rPr>
                <w:rFonts w:ascii="Arial" w:cs="Arial" w:eastAsia="Arial" w:hAnsi="Arial"/>
                <w:sz w:val="20"/>
                <w:szCs w:val="20"/>
                <w:color w:val="auto"/>
              </w:rPr>
              <w:t>Depreciation and amortization</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(7,693)</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(55)</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(2,321)</w:t>
            </w:r>
          </w:p>
        </w:tc>
        <w:tc>
          <w:tcPr>
            <w:tcW w:w="2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tcBorders>
              <w:right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(10,069)</w:t>
            </w:r>
          </w:p>
        </w:tc>
        <w:tc>
          <w:tcPr>
            <w:tcW w:w="40" w:type="dxa"/>
            <w:vAlign w:val="bottom"/>
          </w:tcPr>
          <w:p>
            <w:pPr>
              <w:spacing w:after="0"/>
              <w:rPr>
                <w:sz w:val="19"/>
                <w:szCs w:val="19"/>
                <w:color w:val="auto"/>
              </w:rPr>
            </w:pPr>
          </w:p>
        </w:tc>
      </w:tr>
      <w:tr>
        <w:trPr>
          <w:trHeight w:val="250"/>
        </w:trPr>
        <w:tc>
          <w:tcPr>
            <w:tcW w:w="5000" w:type="dxa"/>
            <w:vAlign w:val="bottom"/>
          </w:tcPr>
          <w:p>
            <w:pPr>
              <w:spacing w:after="0"/>
              <w:rPr>
                <w:sz w:val="20"/>
                <w:szCs w:val="20"/>
                <w:color w:val="auto"/>
              </w:rPr>
            </w:pPr>
            <w:r>
              <w:rPr>
                <w:rFonts w:ascii="Arial" w:cs="Arial" w:eastAsia="Arial" w:hAnsi="Arial"/>
                <w:sz w:val="20"/>
                <w:szCs w:val="20"/>
                <w:color w:val="auto"/>
              </w:rPr>
              <w:t>Trademark amortization</w:t>
            </w:r>
          </w:p>
        </w:tc>
        <w:tc>
          <w:tcPr>
            <w:tcW w:w="340" w:type="dxa"/>
            <w:vAlign w:val="bottom"/>
          </w:tcPr>
          <w:p>
            <w:pPr>
              <w:spacing w:after="0"/>
              <w:rPr>
                <w:sz w:val="21"/>
                <w:szCs w:val="21"/>
                <w:color w:val="auto"/>
              </w:rPr>
            </w:pPr>
          </w:p>
        </w:tc>
        <w:tc>
          <w:tcPr>
            <w:tcW w:w="1020" w:type="dxa"/>
            <w:vAlign w:val="bottom"/>
          </w:tcPr>
          <w:p>
            <w:pPr>
              <w:jc w:val="right"/>
              <w:ind w:right="22"/>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(22)</w:t>
            </w: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(24)</w:t>
            </w:r>
          </w:p>
        </w:tc>
        <w:tc>
          <w:tcPr>
            <w:tcW w:w="40" w:type="dxa"/>
            <w:vAlign w:val="bottom"/>
          </w:tcPr>
          <w:p>
            <w:pPr>
              <w:spacing w:after="0"/>
              <w:rPr>
                <w:sz w:val="21"/>
                <w:szCs w:val="21"/>
                <w:color w:val="auto"/>
              </w:rPr>
            </w:pPr>
          </w:p>
        </w:tc>
      </w:tr>
      <w:tr>
        <w:trPr>
          <w:trHeight w:val="438"/>
        </w:trPr>
        <w:tc>
          <w:tcPr>
            <w:tcW w:w="50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spacing w:after="0"/>
              <w:rPr>
                <w:sz w:val="20"/>
                <w:szCs w:val="20"/>
                <w:color w:val="auto"/>
              </w:rPr>
            </w:pPr>
            <w:r>
              <w:rPr>
                <w:rFonts w:ascii="Arial" w:cs="Arial" w:eastAsia="Arial" w:hAnsi="Arial"/>
                <w:sz w:val="20"/>
                <w:szCs w:val="20"/>
                <w:color w:val="auto"/>
              </w:rPr>
              <w:t>Six-Months Ended June 30, 2011</w:t>
            </w:r>
          </w:p>
        </w:tc>
        <w:tc>
          <w:tcPr>
            <w:tcW w:w="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06"/>
        </w:trPr>
        <w:tc>
          <w:tcPr>
            <w:tcW w:w="5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3"/>
          </w:tcPr>
          <w:p>
            <w:pPr>
              <w:ind w:left="120"/>
              <w:spacing w:after="0" w:line="207" w:lineRule="exact"/>
              <w:rPr>
                <w:sz w:val="20"/>
                <w:szCs w:val="20"/>
                <w:color w:val="auto"/>
              </w:rPr>
            </w:pPr>
            <w:r>
              <w:rPr>
                <w:rFonts w:ascii="Arial" w:cs="Arial" w:eastAsia="Arial" w:hAnsi="Arial"/>
                <w:sz w:val="20"/>
                <w:szCs w:val="20"/>
                <w:color w:val="auto"/>
              </w:rPr>
              <w:t>Corporate and</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46"/>
        </w:trPr>
        <w:tc>
          <w:tcPr>
            <w:tcW w:w="5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20"/>
                <w:szCs w:val="20"/>
                <w:color w:val="auto"/>
              </w:rPr>
              <w:t>DSD</w:t>
            </w:r>
          </w:p>
        </w:tc>
        <w:tc>
          <w:tcPr>
            <w:tcW w:w="200" w:type="dxa"/>
            <w:vAlign w:val="bottom"/>
          </w:tcPr>
          <w:p>
            <w:pPr>
              <w:spacing w:after="0"/>
              <w:rPr>
                <w:sz w:val="21"/>
                <w:szCs w:val="21"/>
                <w:color w:val="auto"/>
              </w:rPr>
            </w:pPr>
          </w:p>
        </w:tc>
        <w:tc>
          <w:tcPr>
            <w:tcW w:w="1420" w:type="dxa"/>
            <w:vAlign w:val="bottom"/>
            <w:gridSpan w:val="2"/>
          </w:tcPr>
          <w:p>
            <w:pPr>
              <w:ind w:left="40"/>
              <w:spacing w:after="0"/>
              <w:rPr>
                <w:sz w:val="20"/>
                <w:szCs w:val="20"/>
                <w:color w:val="auto"/>
              </w:rPr>
            </w:pPr>
            <w:r>
              <w:rPr>
                <w:rFonts w:ascii="Arial" w:cs="Arial" w:eastAsia="Arial" w:hAnsi="Arial"/>
                <w:sz w:val="20"/>
                <w:szCs w:val="20"/>
                <w:color w:val="auto"/>
              </w:rPr>
              <w:t>Warehouse</w:t>
            </w:r>
          </w:p>
        </w:tc>
        <w:tc>
          <w:tcPr>
            <w:tcW w:w="1620" w:type="dxa"/>
            <w:vAlign w:val="bottom"/>
            <w:gridSpan w:val="3"/>
          </w:tcPr>
          <w:p>
            <w:pPr>
              <w:ind w:left="200"/>
              <w:spacing w:after="0"/>
              <w:rPr>
                <w:sz w:val="20"/>
                <w:szCs w:val="20"/>
                <w:color w:val="auto"/>
              </w:rPr>
            </w:pPr>
            <w:r>
              <w:rPr>
                <w:rFonts w:ascii="Arial" w:cs="Arial" w:eastAsia="Arial" w:hAnsi="Arial"/>
                <w:sz w:val="20"/>
                <w:szCs w:val="20"/>
                <w:color w:val="auto"/>
              </w:rPr>
              <w:t>Unallocated</w:t>
            </w:r>
          </w:p>
        </w:tc>
        <w:tc>
          <w:tcPr>
            <w:tcW w:w="380" w:type="dxa"/>
            <w:vAlign w:val="bottom"/>
          </w:tcPr>
          <w:p>
            <w:pPr>
              <w:spacing w:after="0"/>
              <w:rPr>
                <w:sz w:val="21"/>
                <w:szCs w:val="21"/>
                <w:color w:val="auto"/>
              </w:rPr>
            </w:pPr>
          </w:p>
        </w:tc>
        <w:tc>
          <w:tcPr>
            <w:tcW w:w="1140" w:type="dxa"/>
            <w:vAlign w:val="bottom"/>
          </w:tcPr>
          <w:p>
            <w:pPr>
              <w:jc w:val="right"/>
              <w:ind w:right="481"/>
              <w:spacing w:after="0"/>
              <w:rPr>
                <w:sz w:val="20"/>
                <w:szCs w:val="20"/>
                <w:color w:val="auto"/>
              </w:rPr>
            </w:pPr>
            <w:r>
              <w:rPr>
                <w:rFonts w:ascii="Arial" w:cs="Arial" w:eastAsia="Arial" w:hAnsi="Arial"/>
                <w:sz w:val="20"/>
                <w:szCs w:val="20"/>
                <w:color w:val="auto"/>
              </w:rPr>
              <w:t>Total</w:t>
            </w:r>
          </w:p>
        </w:tc>
        <w:tc>
          <w:tcPr>
            <w:tcW w:w="40" w:type="dxa"/>
            <w:vAlign w:val="bottom"/>
          </w:tcPr>
          <w:p>
            <w:pPr>
              <w:spacing w:after="0"/>
              <w:rPr>
                <w:sz w:val="21"/>
                <w:szCs w:val="21"/>
                <w:color w:val="auto"/>
              </w:rPr>
            </w:pPr>
          </w:p>
        </w:tc>
      </w:tr>
      <w:tr>
        <w:trPr>
          <w:trHeight w:val="223"/>
        </w:trPr>
        <w:tc>
          <w:tcPr>
            <w:tcW w:w="500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Net sales</w:t>
            </w:r>
          </w:p>
        </w:tc>
        <w:tc>
          <w:tcPr>
            <w:tcW w:w="340" w:type="dxa"/>
            <w:vAlign w:val="bottom"/>
            <w:tcBorders>
              <w:top w:val="single" w:sz="8" w:color="auto"/>
            </w:tcBorders>
            <w:shd w:val="clear" w:color="auto" w:fill="CCEEFF"/>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020" w:type="dxa"/>
            <w:vAlign w:val="bottom"/>
            <w:tcBorders>
              <w:top w:val="single" w:sz="8" w:color="auto"/>
            </w:tcBorders>
            <w:shd w:val="clear" w:color="auto" w:fill="CCEEFF"/>
          </w:tcPr>
          <w:p>
            <w:pPr>
              <w:jc w:val="right"/>
              <w:ind w:right="22"/>
              <w:spacing w:after="0" w:line="223" w:lineRule="exact"/>
              <w:rPr>
                <w:sz w:val="20"/>
                <w:szCs w:val="20"/>
                <w:color w:val="auto"/>
              </w:rPr>
            </w:pPr>
            <w:r>
              <w:rPr>
                <w:rFonts w:ascii="Arial" w:cs="Arial" w:eastAsia="Arial" w:hAnsi="Arial"/>
                <w:sz w:val="20"/>
                <w:szCs w:val="20"/>
                <w:color w:val="auto"/>
              </w:rPr>
              <w:t>771,378</w:t>
            </w:r>
          </w:p>
        </w:tc>
        <w:tc>
          <w:tcPr>
            <w:tcW w:w="3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1140" w:type="dxa"/>
            <w:vAlign w:val="bottom"/>
            <w:tcBorders>
              <w:top w:val="single" w:sz="8" w:color="auto"/>
            </w:tcBorders>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47,186</w:t>
            </w:r>
          </w:p>
        </w:tc>
        <w:tc>
          <w:tcPr>
            <w:tcW w:w="2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100"/>
              <w:spacing w:after="0" w:line="223" w:lineRule="exact"/>
              <w:rPr>
                <w:sz w:val="20"/>
                <w:szCs w:val="20"/>
                <w:color w:val="auto"/>
              </w:rPr>
            </w:pPr>
            <w:r>
              <w:rPr>
                <w:rFonts w:ascii="Arial" w:cs="Arial" w:eastAsia="Arial" w:hAnsi="Arial"/>
                <w:sz w:val="20"/>
                <w:szCs w:val="20"/>
                <w:color w:val="auto"/>
              </w:rPr>
              <w:t>$</w:t>
            </w:r>
          </w:p>
        </w:tc>
        <w:tc>
          <w:tcPr>
            <w:tcW w:w="940" w:type="dxa"/>
            <w:vAlign w:val="bottom"/>
            <w:tcBorders>
              <w:top w:val="single" w:sz="8" w:color="auto"/>
            </w:tcBorders>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2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1140" w:type="dxa"/>
            <w:vAlign w:val="bottom"/>
            <w:tcBorders>
              <w:top w:val="single" w:sz="8" w:color="auto"/>
              <w:right w:val="single" w:sz="8" w:color="CCEEFF"/>
            </w:tcBorders>
            <w:shd w:val="clear" w:color="auto" w:fill="CCEEFF"/>
          </w:tcPr>
          <w:p>
            <w:pPr>
              <w:jc w:val="right"/>
              <w:ind w:right="61"/>
              <w:spacing w:after="0" w:line="223" w:lineRule="exact"/>
              <w:rPr>
                <w:sz w:val="20"/>
                <w:szCs w:val="20"/>
                <w:color w:val="auto"/>
              </w:rPr>
            </w:pPr>
            <w:r>
              <w:rPr>
                <w:rFonts w:ascii="Arial" w:cs="Arial" w:eastAsia="Arial" w:hAnsi="Arial"/>
                <w:sz w:val="20"/>
                <w:szCs w:val="20"/>
                <w:color w:val="auto"/>
              </w:rPr>
              <w:t>818,564</w:t>
            </w:r>
          </w:p>
        </w:tc>
        <w:tc>
          <w:tcPr>
            <w:tcW w:w="40" w:type="dxa"/>
            <w:vAlign w:val="bottom"/>
          </w:tcPr>
          <w:p>
            <w:pPr>
              <w:spacing w:after="0"/>
              <w:rPr>
                <w:sz w:val="19"/>
                <w:szCs w:val="19"/>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Contribution margin</w:t>
            </w:r>
          </w:p>
        </w:tc>
        <w:tc>
          <w:tcPr>
            <w:tcW w:w="340" w:type="dxa"/>
            <w:vAlign w:val="bottom"/>
          </w:tcPr>
          <w:p>
            <w:pPr>
              <w:spacing w:after="0"/>
              <w:rPr>
                <w:sz w:val="19"/>
                <w:szCs w:val="19"/>
                <w:color w:val="auto"/>
              </w:rPr>
            </w:pPr>
          </w:p>
        </w:tc>
        <w:tc>
          <w:tcPr>
            <w:tcW w:w="1020" w:type="dxa"/>
            <w:vAlign w:val="bottom"/>
          </w:tcPr>
          <w:p>
            <w:pPr>
              <w:jc w:val="right"/>
              <w:ind w:right="22"/>
              <w:spacing w:after="0"/>
              <w:rPr>
                <w:sz w:val="20"/>
                <w:szCs w:val="20"/>
                <w:color w:val="auto"/>
              </w:rPr>
            </w:pPr>
            <w:r>
              <w:rPr>
                <w:rFonts w:ascii="Arial" w:cs="Arial" w:eastAsia="Arial" w:hAnsi="Arial"/>
                <w:sz w:val="20"/>
                <w:szCs w:val="20"/>
                <w:color w:val="auto"/>
              </w:rPr>
              <w:t>260,531</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21"/>
              <w:spacing w:after="0"/>
              <w:rPr>
                <w:sz w:val="20"/>
                <w:szCs w:val="20"/>
                <w:color w:val="auto"/>
              </w:rPr>
            </w:pPr>
            <w:r>
              <w:rPr>
                <w:rFonts w:ascii="Arial" w:cs="Arial" w:eastAsia="Arial" w:hAnsi="Arial"/>
                <w:sz w:val="20"/>
                <w:szCs w:val="20"/>
                <w:color w:val="auto"/>
              </w:rPr>
              <w:t>1,063</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ind w:right="61"/>
              <w:spacing w:after="0"/>
              <w:rPr>
                <w:sz w:val="20"/>
                <w:szCs w:val="20"/>
                <w:color w:val="auto"/>
              </w:rPr>
            </w:pPr>
            <w:r>
              <w:rPr>
                <w:rFonts w:ascii="Arial" w:cs="Arial" w:eastAsia="Arial" w:hAnsi="Arial"/>
                <w:sz w:val="20"/>
                <w:szCs w:val="20"/>
                <w:color w:val="auto"/>
              </w:rPr>
              <w:t>261,594</w:t>
            </w:r>
          </w:p>
        </w:tc>
        <w:tc>
          <w:tcPr>
            <w:tcW w:w="40" w:type="dxa"/>
            <w:vAlign w:val="bottom"/>
          </w:tcPr>
          <w:p>
            <w:pPr>
              <w:spacing w:after="0"/>
              <w:rPr>
                <w:sz w:val="19"/>
                <w:szCs w:val="19"/>
                <w:color w:val="auto"/>
              </w:rPr>
            </w:pPr>
          </w:p>
        </w:tc>
      </w:tr>
      <w:tr>
        <w:trPr>
          <w:trHeight w:val="230"/>
        </w:trPr>
        <w:tc>
          <w:tcPr>
            <w:tcW w:w="5000" w:type="dxa"/>
            <w:vAlign w:val="bottom"/>
            <w:shd w:val="clear" w:color="auto" w:fill="CCEEFF"/>
          </w:tcPr>
          <w:p>
            <w:pPr>
              <w:spacing w:after="0"/>
              <w:rPr>
                <w:sz w:val="20"/>
                <w:szCs w:val="20"/>
                <w:color w:val="auto"/>
              </w:rPr>
            </w:pPr>
            <w:r>
              <w:rPr>
                <w:rFonts w:ascii="Arial" w:cs="Arial" w:eastAsia="Arial" w:hAnsi="Arial"/>
                <w:sz w:val="20"/>
                <w:szCs w:val="20"/>
                <w:color w:val="auto"/>
              </w:rPr>
              <w:t>Corporate and unallocated expenses</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2"/>
              <w:spacing w:after="0"/>
              <w:rPr>
                <w:sz w:val="20"/>
                <w:szCs w:val="20"/>
                <w:color w:val="auto"/>
              </w:rPr>
            </w:pPr>
            <w:r>
              <w:rPr>
                <w:rFonts w:ascii="Arial" w:cs="Arial" w:eastAsia="Arial" w:hAnsi="Arial"/>
                <w:sz w:val="20"/>
                <w:szCs w:val="20"/>
                <w:color w:val="auto"/>
              </w:rPr>
              <w:t>-</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(40,658)</w:t>
            </w:r>
          </w:p>
        </w:tc>
        <w:tc>
          <w:tcPr>
            <w:tcW w:w="2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tcBorders>
              <w:right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(40,658)</w:t>
            </w:r>
          </w:p>
        </w:tc>
        <w:tc>
          <w:tcPr>
            <w:tcW w:w="40" w:type="dxa"/>
            <w:vAlign w:val="bottom"/>
          </w:tcPr>
          <w:p>
            <w:pPr>
              <w:spacing w:after="0"/>
              <w:rPr>
                <w:sz w:val="19"/>
                <w:szCs w:val="19"/>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Operating income</w:t>
            </w: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ind w:right="61"/>
              <w:spacing w:after="0"/>
              <w:rPr>
                <w:sz w:val="20"/>
                <w:szCs w:val="20"/>
                <w:color w:val="auto"/>
              </w:rPr>
            </w:pPr>
            <w:r>
              <w:rPr>
                <w:rFonts w:ascii="Arial" w:cs="Arial" w:eastAsia="Arial" w:hAnsi="Arial"/>
                <w:sz w:val="20"/>
                <w:szCs w:val="20"/>
                <w:color w:val="auto"/>
              </w:rPr>
              <w:t>220,936</w:t>
            </w:r>
          </w:p>
        </w:tc>
        <w:tc>
          <w:tcPr>
            <w:tcW w:w="40" w:type="dxa"/>
            <w:vAlign w:val="bottom"/>
          </w:tcPr>
          <w:p>
            <w:pPr>
              <w:spacing w:after="0"/>
              <w:rPr>
                <w:sz w:val="19"/>
                <w:szCs w:val="19"/>
                <w:color w:val="auto"/>
              </w:rPr>
            </w:pPr>
          </w:p>
        </w:tc>
      </w:tr>
      <w:tr>
        <w:trPr>
          <w:trHeight w:val="230"/>
        </w:trPr>
        <w:tc>
          <w:tcPr>
            <w:tcW w:w="5000" w:type="dxa"/>
            <w:vAlign w:val="bottom"/>
            <w:shd w:val="clear" w:color="auto" w:fill="CCEEFF"/>
          </w:tcPr>
          <w:p>
            <w:pPr>
              <w:spacing w:after="0"/>
              <w:rPr>
                <w:sz w:val="20"/>
                <w:szCs w:val="20"/>
                <w:color w:val="auto"/>
              </w:rPr>
            </w:pPr>
            <w:r>
              <w:rPr>
                <w:rFonts w:ascii="Arial" w:cs="Arial" w:eastAsia="Arial" w:hAnsi="Arial"/>
                <w:sz w:val="20"/>
                <w:szCs w:val="20"/>
                <w:color w:val="auto"/>
              </w:rPr>
              <w:t>Other (expense) income</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584</w:t>
            </w:r>
          </w:p>
        </w:tc>
        <w:tc>
          <w:tcPr>
            <w:tcW w:w="2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tcBorders>
              <w:right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576</w:t>
            </w:r>
          </w:p>
        </w:tc>
        <w:tc>
          <w:tcPr>
            <w:tcW w:w="40" w:type="dxa"/>
            <w:vAlign w:val="bottom"/>
          </w:tcPr>
          <w:p>
            <w:pPr>
              <w:spacing w:after="0"/>
              <w:rPr>
                <w:sz w:val="19"/>
                <w:szCs w:val="19"/>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Income before provision for income taxes</w:t>
            </w: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ind w:right="61"/>
              <w:spacing w:after="0"/>
              <w:rPr>
                <w:sz w:val="20"/>
                <w:szCs w:val="20"/>
                <w:color w:val="auto"/>
              </w:rPr>
            </w:pPr>
            <w:r>
              <w:rPr>
                <w:rFonts w:ascii="Arial" w:cs="Arial" w:eastAsia="Arial" w:hAnsi="Arial"/>
                <w:sz w:val="20"/>
                <w:szCs w:val="20"/>
                <w:color w:val="auto"/>
              </w:rPr>
              <w:t>221,512</w:t>
            </w:r>
          </w:p>
        </w:tc>
        <w:tc>
          <w:tcPr>
            <w:tcW w:w="40" w:type="dxa"/>
            <w:vAlign w:val="bottom"/>
          </w:tcPr>
          <w:p>
            <w:pPr>
              <w:spacing w:after="0"/>
              <w:rPr>
                <w:sz w:val="19"/>
                <w:szCs w:val="19"/>
                <w:color w:val="auto"/>
              </w:rPr>
            </w:pPr>
          </w:p>
        </w:tc>
      </w:tr>
      <w:tr>
        <w:trPr>
          <w:trHeight w:val="230"/>
        </w:trPr>
        <w:tc>
          <w:tcPr>
            <w:tcW w:w="5000" w:type="dxa"/>
            <w:vAlign w:val="bottom"/>
            <w:shd w:val="clear" w:color="auto" w:fill="CCEEFF"/>
          </w:tcPr>
          <w:p>
            <w:pPr>
              <w:spacing w:after="0"/>
              <w:rPr>
                <w:sz w:val="20"/>
                <w:szCs w:val="20"/>
                <w:color w:val="auto"/>
              </w:rPr>
            </w:pPr>
            <w:r>
              <w:rPr>
                <w:rFonts w:ascii="Arial" w:cs="Arial" w:eastAsia="Arial" w:hAnsi="Arial"/>
                <w:sz w:val="20"/>
                <w:szCs w:val="20"/>
                <w:color w:val="auto"/>
              </w:rPr>
              <w:t>Depreciation and amortization</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(5,617)</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(37)</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(2,017)</w:t>
            </w:r>
          </w:p>
        </w:tc>
        <w:tc>
          <w:tcPr>
            <w:tcW w:w="2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tcBorders>
              <w:right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(7,671)</w:t>
            </w:r>
          </w:p>
        </w:tc>
        <w:tc>
          <w:tcPr>
            <w:tcW w:w="40" w:type="dxa"/>
            <w:vAlign w:val="bottom"/>
          </w:tcPr>
          <w:p>
            <w:pPr>
              <w:spacing w:after="0"/>
              <w:rPr>
                <w:sz w:val="19"/>
                <w:szCs w:val="19"/>
                <w:color w:val="auto"/>
              </w:rPr>
            </w:pPr>
          </w:p>
        </w:tc>
      </w:tr>
      <w:tr>
        <w:trPr>
          <w:trHeight w:val="250"/>
        </w:trPr>
        <w:tc>
          <w:tcPr>
            <w:tcW w:w="5000" w:type="dxa"/>
            <w:vAlign w:val="bottom"/>
          </w:tcPr>
          <w:p>
            <w:pPr>
              <w:spacing w:after="0"/>
              <w:rPr>
                <w:sz w:val="20"/>
                <w:szCs w:val="20"/>
                <w:color w:val="auto"/>
              </w:rPr>
            </w:pPr>
            <w:r>
              <w:rPr>
                <w:rFonts w:ascii="Arial" w:cs="Arial" w:eastAsia="Arial" w:hAnsi="Arial"/>
                <w:sz w:val="20"/>
                <w:szCs w:val="20"/>
                <w:color w:val="auto"/>
              </w:rPr>
              <w:t>Trademark amortization</w:t>
            </w:r>
          </w:p>
        </w:tc>
        <w:tc>
          <w:tcPr>
            <w:tcW w:w="340" w:type="dxa"/>
            <w:vAlign w:val="bottom"/>
          </w:tcPr>
          <w:p>
            <w:pPr>
              <w:spacing w:after="0"/>
              <w:rPr>
                <w:sz w:val="21"/>
                <w:szCs w:val="21"/>
                <w:color w:val="auto"/>
              </w:rPr>
            </w:pPr>
          </w:p>
        </w:tc>
        <w:tc>
          <w:tcPr>
            <w:tcW w:w="1020" w:type="dxa"/>
            <w:vAlign w:val="bottom"/>
          </w:tcPr>
          <w:p>
            <w:pPr>
              <w:jc w:val="right"/>
              <w:ind w:right="22"/>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(22)</w:t>
            </w: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(24)</w:t>
            </w:r>
          </w:p>
        </w:tc>
        <w:tc>
          <w:tcPr>
            <w:tcW w:w="40" w:type="dxa"/>
            <w:vAlign w:val="bottom"/>
          </w:tcPr>
          <w:p>
            <w:pPr>
              <w:spacing w:after="0"/>
              <w:rPr>
                <w:sz w:val="21"/>
                <w:szCs w:val="21"/>
                <w:color w:val="auto"/>
              </w:rPr>
            </w:pPr>
          </w:p>
        </w:tc>
      </w:tr>
      <w:tr>
        <w:trPr>
          <w:trHeight w:val="411"/>
        </w:trPr>
        <w:tc>
          <w:tcPr>
            <w:tcW w:w="5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ind w:right="462"/>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00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8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5" w:lineRule="exact"/>
        <w:rPr>
          <w:sz w:val="20"/>
          <w:szCs w:val="20"/>
          <w:color w:val="auto"/>
        </w:rPr>
      </w:pPr>
    </w:p>
    <w:p>
      <w:pPr>
        <w:jc w:val="both"/>
        <w:ind w:right="60" w:firstLine="648"/>
        <w:spacing w:after="0" w:line="251" w:lineRule="auto"/>
        <w:rPr>
          <w:sz w:val="20"/>
          <w:szCs w:val="20"/>
          <w:color w:val="auto"/>
        </w:rPr>
      </w:pPr>
      <w:r>
        <w:rPr>
          <w:rFonts w:ascii="Arial" w:cs="Arial" w:eastAsia="Arial" w:hAnsi="Arial"/>
          <w:sz w:val="22"/>
          <w:szCs w:val="22"/>
          <w:color w:val="auto"/>
        </w:rPr>
        <w:t>Revenue is derived from sales to external customers. Operating expenses that pertain to each segment are allocated to the appropriate segment.</w:t>
      </w:r>
    </w:p>
    <w:p>
      <w:pPr>
        <w:spacing w:after="0" w:line="200" w:lineRule="exact"/>
        <w:rPr>
          <w:sz w:val="20"/>
          <w:szCs w:val="20"/>
          <w:color w:val="auto"/>
        </w:rPr>
      </w:pPr>
    </w:p>
    <w:p>
      <w:pPr>
        <w:jc w:val="both"/>
        <w:ind w:right="40" w:firstLine="648"/>
        <w:spacing w:after="0" w:line="279" w:lineRule="auto"/>
        <w:rPr>
          <w:sz w:val="20"/>
          <w:szCs w:val="20"/>
          <w:color w:val="auto"/>
        </w:rPr>
      </w:pPr>
      <w:r>
        <w:rPr>
          <w:rFonts w:ascii="Arial" w:cs="Arial" w:eastAsia="Arial" w:hAnsi="Arial"/>
          <w:sz w:val="19"/>
          <w:szCs w:val="19"/>
          <w:color w:val="auto"/>
        </w:rPr>
        <w:t>Corporate and unallocated expenses were $52.6 million for the six-months ended June 30, 2012 and included $35.5 million of payroll costs, of which $13.6 million was attributable to stock-based compensation expense (see Note 12, “Stock-Based Compensation”), $7.1 million attributable to professional service expenses, including accounting and legal costs, and $10.0 million of other operating expenses. Corporate and unallocated expenses were $40.7 million for the six-months ended June 30, 2011 and included $25.0 million of payroll costs, of which $7.9 million was attributable to stock-based compensation expense (see Note 12, “Stock-Based Compensation”), $8.6 million attributable to professional service expenses, including accounting and legal costs, and</w:t>
      </w:r>
    </w:p>
    <w:p>
      <w:pPr>
        <w:sectPr>
          <w:pgSz w:w="11900" w:h="16838" w:orient="portrait"/>
          <w:cols w:equalWidth="0" w:num="1">
            <w:col w:w="11460"/>
          </w:cols>
          <w:pgMar w:left="240" w:top="118" w:right="199" w:bottom="0" w:gutter="0" w:footer="0" w:header="0"/>
        </w:sectPr>
      </w:pPr>
    </w:p>
    <w:bookmarkStart w:id="18" w:name="page19"/>
    <w:bookmarkEnd w:id="18"/>
    <w:p>
      <w:pPr>
        <w:spacing w:after="0" w:line="12"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$7.1 million of other operating expenses. Certain items, including operating assets and income taxes, are not allocated to individual segments and therefore are not presented above.</w:t>
      </w:r>
    </w:p>
    <w:p>
      <w:pPr>
        <w:spacing w:after="0" w:line="20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Coca-Cola Refreshments, a customer of the DSD segment, accounted for approximately 29% of the Company’s net sales for both the six-months ended June 30, 2012 and 2011.</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Net sales to customers outside the United States amounted to $203.5 million and $133.5 million for the six-months ended</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June 30, 2012 and 2011, respectively. Such sales were approximately 19.4% and 16.3% of net sales for the six-months ended</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June 30, 2012 and 2011, respectively.</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Company’s net sales by product line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80" w:type="dxa"/>
            <w:vAlign w:val="bottom"/>
            <w:gridSpan w:val="5"/>
          </w:tcPr>
          <w:p>
            <w:pPr>
              <w:ind w:left="320"/>
              <w:spacing w:after="0"/>
              <w:rPr>
                <w:sz w:val="20"/>
                <w:szCs w:val="20"/>
                <w:color w:val="auto"/>
              </w:rPr>
            </w:pPr>
            <w:r>
              <w:rPr>
                <w:rFonts w:ascii="Arial" w:cs="Arial" w:eastAsia="Arial" w:hAnsi="Arial"/>
                <w:sz w:val="21"/>
                <w:szCs w:val="21"/>
                <w:color w:val="auto"/>
              </w:rPr>
              <w:t>Three-Months Ended</w:t>
            </w:r>
          </w:p>
        </w:tc>
        <w:tc>
          <w:tcPr>
            <w:tcW w:w="320" w:type="dxa"/>
            <w:vAlign w:val="bottom"/>
          </w:tcPr>
          <w:p>
            <w:pPr>
              <w:spacing w:after="0"/>
              <w:rPr>
                <w:sz w:val="21"/>
                <w:szCs w:val="21"/>
                <w:color w:val="auto"/>
              </w:rPr>
            </w:pPr>
          </w:p>
        </w:tc>
        <w:tc>
          <w:tcPr>
            <w:tcW w:w="2780" w:type="dxa"/>
            <w:vAlign w:val="bottom"/>
            <w:gridSpan w:val="4"/>
          </w:tcPr>
          <w:p>
            <w:pPr>
              <w:jc w:val="right"/>
              <w:ind w:right="676"/>
              <w:spacing w:after="0"/>
              <w:rPr>
                <w:sz w:val="20"/>
                <w:szCs w:val="20"/>
                <w:color w:val="auto"/>
              </w:rPr>
            </w:pPr>
            <w:r>
              <w:rPr>
                <w:rFonts w:ascii="Arial" w:cs="Arial" w:eastAsia="Arial" w:hAnsi="Arial"/>
                <w:sz w:val="21"/>
                <w:szCs w:val="21"/>
                <w:color w:val="auto"/>
              </w:rPr>
              <w:t>Six-Months Ended</w:t>
            </w:r>
          </w:p>
        </w:tc>
        <w:tc>
          <w:tcPr>
            <w:tcW w:w="0" w:type="dxa"/>
            <w:vAlign w:val="bottom"/>
          </w:tcPr>
          <w:p>
            <w:pPr>
              <w:spacing w:after="0"/>
              <w:rPr>
                <w:sz w:val="1"/>
                <w:szCs w:val="1"/>
                <w:color w:val="auto"/>
              </w:rPr>
            </w:pPr>
          </w:p>
        </w:tc>
      </w:tr>
      <w:tr>
        <w:trPr>
          <w:trHeight w:val="256"/>
        </w:trPr>
        <w:tc>
          <w:tcPr>
            <w:tcW w:w="4860" w:type="dxa"/>
            <w:vAlign w:val="bottom"/>
            <w:gridSpan w:val="2"/>
            <w:vMerge w:val="restart"/>
          </w:tcPr>
          <w:p>
            <w:pPr>
              <w:spacing w:after="0"/>
              <w:rPr>
                <w:sz w:val="20"/>
                <w:szCs w:val="20"/>
                <w:color w:val="auto"/>
              </w:rPr>
            </w:pPr>
            <w:r>
              <w:rPr>
                <w:rFonts w:ascii="Arial" w:cs="Arial" w:eastAsia="Arial" w:hAnsi="Arial"/>
                <w:sz w:val="21"/>
                <w:szCs w:val="21"/>
                <w:color w:val="auto"/>
              </w:rPr>
              <w:t>Product Line</w:t>
            </w:r>
          </w:p>
        </w:tc>
        <w:tc>
          <w:tcPr>
            <w:tcW w:w="3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21"/>
                <w:szCs w:val="21"/>
                <w:color w:val="auto"/>
              </w:rPr>
              <w:t>June 30,</w:t>
            </w:r>
          </w:p>
        </w:tc>
        <w:tc>
          <w:tcPr>
            <w:tcW w:w="1080" w:type="dxa"/>
            <w:vAlign w:val="bottom"/>
            <w:tcBorders>
              <w:bottom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21"/>
                <w:szCs w:val="21"/>
                <w:color w:val="auto"/>
              </w:rPr>
              <w:t>June 30,</w:t>
            </w:r>
          </w:p>
        </w:tc>
        <w:tc>
          <w:tcPr>
            <w:tcW w:w="1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860" w:type="dxa"/>
            <w:vAlign w:val="bottom"/>
            <w:gridSpan w:val="2"/>
            <w:vMerge w:val="continue"/>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416"/>
              <w:spacing w:after="0" w:line="237" w:lineRule="exact"/>
              <w:rPr>
                <w:sz w:val="20"/>
                <w:szCs w:val="20"/>
                <w:color w:val="auto"/>
              </w:rPr>
            </w:pPr>
            <w:r>
              <w:rPr>
                <w:rFonts w:ascii="Arial" w:cs="Arial" w:eastAsia="Arial" w:hAnsi="Arial"/>
                <w:sz w:val="21"/>
                <w:szCs w:val="21"/>
                <w:color w:val="auto"/>
              </w:rPr>
              <w:t>2012</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416"/>
              <w:spacing w:after="0" w:line="237" w:lineRule="exact"/>
              <w:rPr>
                <w:sz w:val="20"/>
                <w:szCs w:val="20"/>
                <w:color w:val="auto"/>
              </w:rPr>
            </w:pPr>
            <w:r>
              <w:rPr>
                <w:rFonts w:ascii="Arial" w:cs="Arial" w:eastAsia="Arial" w:hAnsi="Arial"/>
                <w:sz w:val="21"/>
                <w:szCs w:val="21"/>
                <w:color w:val="auto"/>
              </w:rPr>
              <w:t>2011</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396"/>
              <w:spacing w:after="0" w:line="237" w:lineRule="exact"/>
              <w:rPr>
                <w:sz w:val="20"/>
                <w:szCs w:val="20"/>
                <w:color w:val="auto"/>
              </w:rPr>
            </w:pPr>
            <w:r>
              <w:rPr>
                <w:rFonts w:ascii="Arial" w:cs="Arial" w:eastAsia="Arial" w:hAnsi="Arial"/>
                <w:sz w:val="21"/>
                <w:szCs w:val="21"/>
                <w:color w:val="auto"/>
              </w:rPr>
              <w:t>2012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ind w:right="396"/>
              <w:spacing w:after="0" w:line="237" w:lineRule="exact"/>
              <w:rPr>
                <w:sz w:val="20"/>
                <w:szCs w:val="20"/>
                <w:color w:val="auto"/>
              </w:rPr>
            </w:pPr>
            <w:r>
              <w:rPr>
                <w:rFonts w:ascii="Arial" w:cs="Arial" w:eastAsia="Arial" w:hAnsi="Arial"/>
                <w:sz w:val="21"/>
                <w:szCs w:val="21"/>
                <w:color w:val="auto"/>
              </w:rPr>
              <w:t>2011</w:t>
            </w:r>
          </w:p>
        </w:tc>
        <w:tc>
          <w:tcPr>
            <w:tcW w:w="0" w:type="dxa"/>
            <w:vAlign w:val="bottom"/>
          </w:tcPr>
          <w:p>
            <w:pPr>
              <w:spacing w:after="0"/>
              <w:rPr>
                <w:sz w:val="1"/>
                <w:szCs w:val="1"/>
                <w:color w:val="auto"/>
              </w:rPr>
            </w:pPr>
          </w:p>
        </w:tc>
      </w:tr>
      <w:tr>
        <w:trPr>
          <w:trHeight w:val="237"/>
        </w:trPr>
        <w:tc>
          <w:tcPr>
            <w:tcW w:w="4640" w:type="dxa"/>
            <w:vAlign w:val="bottom"/>
            <w:tcBorders>
              <w:top w:val="single" w:sz="8" w:color="auto"/>
            </w:tcBorders>
            <w:shd w:val="clear" w:color="auto" w:fill="CCEEFF"/>
          </w:tcPr>
          <w:p>
            <w:pPr>
              <w:spacing w:after="0" w:line="237" w:lineRule="exact"/>
              <w:rPr>
                <w:sz w:val="20"/>
                <w:szCs w:val="20"/>
                <w:color w:val="auto"/>
              </w:rPr>
            </w:pPr>
            <w:r>
              <w:rPr>
                <w:rFonts w:ascii="Arial" w:cs="Arial" w:eastAsia="Arial" w:hAnsi="Arial"/>
                <w:sz w:val="21"/>
                <w:szCs w:val="21"/>
                <w:color w:val="auto"/>
              </w:rPr>
              <w:t>Energy drinks</w:t>
            </w:r>
          </w:p>
        </w:tc>
        <w:tc>
          <w:tcPr>
            <w:tcW w:w="22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jc w:val="right"/>
              <w:ind w:right="56"/>
              <w:spacing w:after="0" w:line="237" w:lineRule="exact"/>
              <w:rPr>
                <w:sz w:val="20"/>
                <w:szCs w:val="20"/>
                <w:color w:val="auto"/>
              </w:rPr>
            </w:pPr>
            <w:r>
              <w:rPr>
                <w:rFonts w:ascii="Arial" w:cs="Arial" w:eastAsia="Arial" w:hAnsi="Arial"/>
                <w:sz w:val="21"/>
                <w:szCs w:val="21"/>
                <w:color w:val="auto"/>
              </w:rPr>
              <w:t>$</w:t>
            </w:r>
          </w:p>
        </w:tc>
        <w:tc>
          <w:tcPr>
            <w:tcW w:w="108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1"/>
                <w:szCs w:val="21"/>
                <w:color w:val="auto"/>
              </w:rPr>
              <w:t>550,561</w:t>
            </w:r>
          </w:p>
        </w:tc>
        <w:tc>
          <w:tcPr>
            <w:tcW w:w="30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jc w:val="right"/>
              <w:ind w:right="36"/>
              <w:spacing w:after="0" w:line="237" w:lineRule="exact"/>
              <w:rPr>
                <w:sz w:val="20"/>
                <w:szCs w:val="20"/>
                <w:color w:val="auto"/>
              </w:rPr>
            </w:pPr>
            <w:r>
              <w:rPr>
                <w:rFonts w:ascii="Arial" w:cs="Arial" w:eastAsia="Arial" w:hAnsi="Arial"/>
                <w:sz w:val="21"/>
                <w:szCs w:val="21"/>
                <w:color w:val="auto"/>
              </w:rPr>
              <w:t>$</w:t>
            </w:r>
          </w:p>
        </w:tc>
        <w:tc>
          <w:tcPr>
            <w:tcW w:w="108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1"/>
                <w:szCs w:val="21"/>
                <w:color w:val="auto"/>
              </w:rPr>
              <w:t>425,060</w:t>
            </w:r>
          </w:p>
        </w:tc>
        <w:tc>
          <w:tcPr>
            <w:tcW w:w="28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jc w:val="right"/>
              <w:ind w:right="36"/>
              <w:spacing w:after="0" w:line="237" w:lineRule="exact"/>
              <w:rPr>
                <w:sz w:val="20"/>
                <w:szCs w:val="20"/>
                <w:color w:val="auto"/>
              </w:rPr>
            </w:pPr>
            <w:r>
              <w:rPr>
                <w:rFonts w:ascii="Arial" w:cs="Arial" w:eastAsia="Arial" w:hAnsi="Arial"/>
                <w:sz w:val="21"/>
                <w:szCs w:val="21"/>
                <w:color w:val="auto"/>
              </w:rPr>
              <w:t>$</w:t>
            </w:r>
          </w:p>
        </w:tc>
        <w:tc>
          <w:tcPr>
            <w:tcW w:w="108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1"/>
                <w:szCs w:val="21"/>
                <w:color w:val="auto"/>
              </w:rPr>
              <w:t>969,473</w:t>
            </w:r>
          </w:p>
        </w:tc>
        <w:tc>
          <w:tcPr>
            <w:tcW w:w="28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jc w:val="right"/>
              <w:ind w:right="56"/>
              <w:spacing w:after="0" w:line="237" w:lineRule="exact"/>
              <w:rPr>
                <w:sz w:val="20"/>
                <w:szCs w:val="20"/>
                <w:color w:val="auto"/>
              </w:rPr>
            </w:pPr>
            <w:r>
              <w:rPr>
                <w:rFonts w:ascii="Arial" w:cs="Arial" w:eastAsia="Arial" w:hAnsi="Arial"/>
                <w:sz w:val="21"/>
                <w:szCs w:val="21"/>
                <w:color w:val="auto"/>
              </w:rPr>
              <w:t>$</w:t>
            </w:r>
          </w:p>
        </w:tc>
        <w:tc>
          <w:tcPr>
            <w:tcW w:w="106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1"/>
                <w:szCs w:val="21"/>
                <w:color w:val="auto"/>
              </w:rPr>
              <w:t>752,702</w:t>
            </w:r>
          </w:p>
        </w:tc>
        <w:tc>
          <w:tcPr>
            <w:tcW w:w="0" w:type="dxa"/>
            <w:vAlign w:val="bottom"/>
          </w:tcPr>
          <w:p>
            <w:pPr>
              <w:spacing w:after="0"/>
              <w:rPr>
                <w:sz w:val="1"/>
                <w:szCs w:val="1"/>
                <w:color w:val="auto"/>
              </w:rPr>
            </w:pPr>
          </w:p>
        </w:tc>
      </w:tr>
      <w:tr>
        <w:trPr>
          <w:trHeight w:val="230"/>
        </w:trPr>
        <w:tc>
          <w:tcPr>
            <w:tcW w:w="4860" w:type="dxa"/>
            <w:vAlign w:val="bottom"/>
            <w:gridSpan w:val="2"/>
          </w:tcPr>
          <w:p>
            <w:pPr>
              <w:spacing w:after="0" w:line="230" w:lineRule="exact"/>
              <w:rPr>
                <w:sz w:val="20"/>
                <w:szCs w:val="20"/>
                <w:color w:val="auto"/>
              </w:rPr>
            </w:pPr>
            <w:r>
              <w:rPr>
                <w:rFonts w:ascii="Arial" w:cs="Arial" w:eastAsia="Arial" w:hAnsi="Arial"/>
                <w:sz w:val="21"/>
                <w:szCs w:val="21"/>
                <w:color w:val="auto"/>
                <w:w w:val="96"/>
              </w:rPr>
              <w:t>Non-carbonated (primarily juice based beverages and</w:t>
            </w: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860" w:type="dxa"/>
            <w:vAlign w:val="bottom"/>
            <w:gridSpan w:val="2"/>
          </w:tcPr>
          <w:p>
            <w:pPr>
              <w:ind w:left="180"/>
              <w:spacing w:after="0"/>
              <w:rPr>
                <w:sz w:val="20"/>
                <w:szCs w:val="20"/>
                <w:color w:val="auto"/>
              </w:rPr>
            </w:pPr>
            <w:r>
              <w:rPr>
                <w:rFonts w:ascii="Arial" w:cs="Arial" w:eastAsia="Arial" w:hAnsi="Arial"/>
                <w:sz w:val="21"/>
                <w:szCs w:val="21"/>
                <w:color w:val="auto"/>
              </w:rPr>
              <w:t>Peace Tea® iced teas)</w:t>
            </w:r>
          </w:p>
        </w:tc>
        <w:tc>
          <w:tcPr>
            <w:tcW w:w="3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1"/>
                <w:szCs w:val="21"/>
                <w:color w:val="auto"/>
              </w:rPr>
              <w:t>30,031</w:t>
            </w: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1"/>
                <w:szCs w:val="21"/>
                <w:color w:val="auto"/>
              </w:rPr>
              <w:t>25,534</w:t>
            </w: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1"/>
                <w:szCs w:val="21"/>
                <w:color w:val="auto"/>
              </w:rPr>
              <w:t>54,284</w:t>
            </w: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1"/>
                <w:szCs w:val="21"/>
                <w:color w:val="auto"/>
              </w:rPr>
              <w:t>44,478</w:t>
            </w:r>
          </w:p>
        </w:tc>
        <w:tc>
          <w:tcPr>
            <w:tcW w:w="0" w:type="dxa"/>
            <w:vAlign w:val="bottom"/>
          </w:tcPr>
          <w:p>
            <w:pPr>
              <w:spacing w:after="0"/>
              <w:rPr>
                <w:sz w:val="1"/>
                <w:szCs w:val="1"/>
                <w:color w:val="auto"/>
              </w:rPr>
            </w:pPr>
          </w:p>
        </w:tc>
      </w:tr>
      <w:tr>
        <w:trPr>
          <w:trHeight w:val="243"/>
        </w:trPr>
        <w:tc>
          <w:tcPr>
            <w:tcW w:w="4860" w:type="dxa"/>
            <w:vAlign w:val="bottom"/>
            <w:gridSpan w:val="2"/>
            <w:shd w:val="clear" w:color="auto" w:fill="CCEEFF"/>
          </w:tcPr>
          <w:p>
            <w:pPr>
              <w:spacing w:after="0"/>
              <w:rPr>
                <w:sz w:val="20"/>
                <w:szCs w:val="20"/>
                <w:color w:val="auto"/>
              </w:rPr>
            </w:pPr>
            <w:r>
              <w:rPr>
                <w:rFonts w:ascii="Arial" w:cs="Arial" w:eastAsia="Arial" w:hAnsi="Arial"/>
                <w:sz w:val="21"/>
                <w:szCs w:val="21"/>
                <w:color w:val="auto"/>
              </w:rPr>
              <w:t>Carbonated (primarily soda beverages)</w:t>
            </w:r>
          </w:p>
        </w:tc>
        <w:tc>
          <w:tcPr>
            <w:tcW w:w="3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21"/>
                <w:szCs w:val="21"/>
                <w:color w:val="auto"/>
              </w:rPr>
              <w:t>8,765</w:t>
            </w:r>
          </w:p>
        </w:tc>
        <w:tc>
          <w:tcPr>
            <w:tcW w:w="3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21"/>
                <w:szCs w:val="21"/>
                <w:color w:val="auto"/>
              </w:rPr>
              <w:t>8,616</w:t>
            </w:r>
          </w:p>
        </w:tc>
        <w:tc>
          <w:tcPr>
            <w:tcW w:w="2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21"/>
                <w:szCs w:val="21"/>
                <w:color w:val="auto"/>
              </w:rPr>
              <w:t>16,426</w:t>
            </w:r>
          </w:p>
        </w:tc>
        <w:tc>
          <w:tcPr>
            <w:tcW w:w="2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21"/>
                <w:szCs w:val="21"/>
                <w:color w:val="auto"/>
              </w:rPr>
              <w:t>15,885</w:t>
            </w:r>
          </w:p>
        </w:tc>
        <w:tc>
          <w:tcPr>
            <w:tcW w:w="0" w:type="dxa"/>
            <w:vAlign w:val="bottom"/>
          </w:tcPr>
          <w:p>
            <w:pPr>
              <w:spacing w:after="0"/>
              <w:rPr>
                <w:sz w:val="1"/>
                <w:szCs w:val="1"/>
                <w:color w:val="auto"/>
              </w:rPr>
            </w:pPr>
          </w:p>
        </w:tc>
      </w:tr>
      <w:tr>
        <w:trPr>
          <w:trHeight w:val="243"/>
        </w:trPr>
        <w:tc>
          <w:tcPr>
            <w:tcW w:w="4860" w:type="dxa"/>
            <w:vAlign w:val="bottom"/>
            <w:tcBorders>
              <w:bottom w:val="single" w:sz="8" w:color="CCEEFF"/>
            </w:tcBorders>
            <w:gridSpan w:val="2"/>
          </w:tcPr>
          <w:p>
            <w:pPr>
              <w:spacing w:after="0"/>
              <w:rPr>
                <w:sz w:val="20"/>
                <w:szCs w:val="20"/>
                <w:color w:val="auto"/>
              </w:rPr>
            </w:pPr>
            <w:r>
              <w:rPr>
                <w:rFonts w:ascii="Arial" w:cs="Arial" w:eastAsia="Arial" w:hAnsi="Arial"/>
                <w:sz w:val="21"/>
                <w:szCs w:val="21"/>
                <w:color w:val="auto"/>
              </w:rPr>
              <w:t>Other</w:t>
            </w:r>
          </w:p>
        </w:tc>
        <w:tc>
          <w:tcPr>
            <w:tcW w:w="3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3,283</w:t>
            </w:r>
          </w:p>
        </w:tc>
        <w:tc>
          <w:tcPr>
            <w:tcW w:w="3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2,935</w:t>
            </w:r>
          </w:p>
        </w:tc>
        <w:tc>
          <w:tcPr>
            <w:tcW w:w="2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7,062</w:t>
            </w:r>
          </w:p>
        </w:tc>
        <w:tc>
          <w:tcPr>
            <w:tcW w:w="2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5,499</w:t>
            </w:r>
          </w:p>
        </w:tc>
        <w:tc>
          <w:tcPr>
            <w:tcW w:w="0" w:type="dxa"/>
            <w:vAlign w:val="bottom"/>
          </w:tcPr>
          <w:p>
            <w:pPr>
              <w:spacing w:after="0"/>
              <w:rPr>
                <w:sz w:val="1"/>
                <w:szCs w:val="1"/>
                <w:color w:val="auto"/>
              </w:rPr>
            </w:pPr>
          </w:p>
        </w:tc>
      </w:tr>
      <w:tr>
        <w:trPr>
          <w:trHeight w:val="237"/>
        </w:trPr>
        <w:tc>
          <w:tcPr>
            <w:tcW w:w="46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56"/>
              <w:spacing w:after="0" w:line="237" w:lineRule="exact"/>
              <w:rPr>
                <w:sz w:val="20"/>
                <w:szCs w:val="20"/>
                <w:color w:val="auto"/>
              </w:rPr>
            </w:pPr>
            <w:r>
              <w:rPr>
                <w:rFonts w:ascii="Arial" w:cs="Arial" w:eastAsia="Arial" w:hAnsi="Arial"/>
                <w:sz w:val="21"/>
                <w:szCs w:val="21"/>
                <w:color w:val="auto"/>
              </w:rPr>
              <w:t>$</w:t>
            </w:r>
          </w:p>
        </w:tc>
        <w:tc>
          <w:tcPr>
            <w:tcW w:w="1080" w:type="dxa"/>
            <w:vAlign w:val="bottom"/>
            <w:tcBorders>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1"/>
                <w:szCs w:val="21"/>
                <w:color w:val="auto"/>
              </w:rPr>
              <w:t>592,640</w:t>
            </w:r>
          </w:p>
        </w:tc>
        <w:tc>
          <w:tcPr>
            <w:tcW w:w="3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36"/>
              <w:spacing w:after="0" w:line="237" w:lineRule="exact"/>
              <w:rPr>
                <w:sz w:val="20"/>
                <w:szCs w:val="20"/>
                <w:color w:val="auto"/>
              </w:rPr>
            </w:pPr>
            <w:r>
              <w:rPr>
                <w:rFonts w:ascii="Arial" w:cs="Arial" w:eastAsia="Arial" w:hAnsi="Arial"/>
                <w:sz w:val="21"/>
                <w:szCs w:val="21"/>
                <w:color w:val="auto"/>
              </w:rPr>
              <w:t>$</w:t>
            </w:r>
          </w:p>
        </w:tc>
        <w:tc>
          <w:tcPr>
            <w:tcW w:w="1080" w:type="dxa"/>
            <w:vAlign w:val="bottom"/>
            <w:tcBorders>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1"/>
                <w:szCs w:val="21"/>
                <w:color w:val="auto"/>
              </w:rPr>
              <w:t>462,145</w:t>
            </w:r>
          </w:p>
        </w:tc>
        <w:tc>
          <w:tcPr>
            <w:tcW w:w="2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36"/>
              <w:spacing w:after="0" w:line="237" w:lineRule="exact"/>
              <w:rPr>
                <w:sz w:val="20"/>
                <w:szCs w:val="20"/>
                <w:color w:val="auto"/>
              </w:rPr>
            </w:pPr>
            <w:r>
              <w:rPr>
                <w:rFonts w:ascii="Arial" w:cs="Arial" w:eastAsia="Arial" w:hAnsi="Arial"/>
                <w:sz w:val="21"/>
                <w:szCs w:val="21"/>
                <w:color w:val="auto"/>
              </w:rPr>
              <w:t>$</w:t>
            </w:r>
          </w:p>
        </w:tc>
        <w:tc>
          <w:tcPr>
            <w:tcW w:w="1080" w:type="dxa"/>
            <w:vAlign w:val="bottom"/>
            <w:tcBorders>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1"/>
                <w:szCs w:val="21"/>
                <w:color w:val="auto"/>
              </w:rPr>
              <w:t>1,047,245</w:t>
            </w:r>
          </w:p>
        </w:tc>
        <w:tc>
          <w:tcPr>
            <w:tcW w:w="2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56"/>
              <w:spacing w:after="0" w:line="237" w:lineRule="exact"/>
              <w:rPr>
                <w:sz w:val="20"/>
                <w:szCs w:val="20"/>
                <w:color w:val="auto"/>
              </w:rPr>
            </w:pPr>
            <w:r>
              <w:rPr>
                <w:rFonts w:ascii="Arial" w:cs="Arial" w:eastAsia="Arial" w:hAnsi="Arial"/>
                <w:sz w:val="21"/>
                <w:szCs w:val="21"/>
                <w:color w:val="auto"/>
              </w:rPr>
              <w:t>$</w:t>
            </w:r>
          </w:p>
        </w:tc>
        <w:tc>
          <w:tcPr>
            <w:tcW w:w="1060" w:type="dxa"/>
            <w:vAlign w:val="bottom"/>
            <w:tcBorders>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1"/>
                <w:szCs w:val="21"/>
                <w:color w:val="auto"/>
              </w:rPr>
              <w:t>818,564</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22"/>
          <w:szCs w:val="22"/>
          <w:color w:val="auto"/>
        </w:rPr>
      </w:pPr>
      <w:r>
        <w:rPr>
          <w:rFonts w:ascii="Arial" w:cs="Arial" w:eastAsia="Arial" w:hAnsi="Arial"/>
          <w:sz w:val="22"/>
          <w:szCs w:val="22"/>
          <w:color w:val="auto"/>
        </w:rPr>
        <w:t>RELATED PARTY TRANSACTIONS</w:t>
      </w:r>
    </w:p>
    <w:p>
      <w:pPr>
        <w:spacing w:after="0" w:line="233" w:lineRule="exact"/>
        <w:rPr>
          <w:sz w:val="20"/>
          <w:szCs w:val="20"/>
          <w:color w:val="auto"/>
        </w:rPr>
      </w:pPr>
    </w:p>
    <w:p>
      <w:pPr>
        <w:jc w:val="both"/>
        <w:ind w:firstLine="687"/>
        <w:spacing w:after="0" w:line="236" w:lineRule="auto"/>
        <w:rPr>
          <w:sz w:val="20"/>
          <w:szCs w:val="20"/>
          <w:color w:val="auto"/>
        </w:rPr>
      </w:pPr>
      <w:r>
        <w:rPr>
          <w:rFonts w:ascii="Arial" w:cs="Arial" w:eastAsia="Arial" w:hAnsi="Arial"/>
          <w:sz w:val="22"/>
          <w:szCs w:val="22"/>
          <w:color w:val="auto"/>
        </w:rPr>
        <w:t>A director of the Company was a partner in a law firm (the director resigned from the law firm effective July 10, 2011) that serves as counsel to the Company. Expenses incurred in connection with services rendered by such firm to the Company during the three-months ended June 30, 2012 and 2011 were $0.4 million and $2.1 million, respectively. Expenses incurred in connection with services rendered by such firm to the Company during the six-months ended June 30, 2012 and 2011 were $1.0 million and $3.3 million, respectively.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Two directors and officers of the Company and their families are principal owners of a company that provides promotional materials to the Company. Expenses incurred with such company in connection with promotional materials purchased during the three-months ended June 30, 2012 and 2011 were $0.1 million and $0.2 million, respectively. Expenses incurred with such company in connection with promotional materials purchased during the six-months ended June 30, 2012 and 2011 were $0.2 million and $0.4 million, respectively.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right="20"/>
        <w:spacing w:after="0" w:line="256"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Business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Overview</w:t>
      </w:r>
    </w:p>
    <w:p>
      <w:pPr>
        <w:spacing w:after="0" w:line="23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Monster Beverage Corporation was incorporated in Delaware on April 25, 1990. Our principal place of business is located at 550 Monica Circle, Suite 201, Corona, California 92880 and our telephone number is (951) 739-6200. When this report uses the words “the Company”, “Hansen Natural Corporation”, “we”, “us”, and “our”, these words refer to Monster Beverage Corporation and its subsidiaries, unless the context otherwise requires. We are a holding company and conduct no operating business except through our consolidated subsidiaries.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We develop, market, sell and distribute “alternative” beverage category beverages primarily under the following brand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names:</w:t>
      </w:r>
    </w:p>
    <w:p>
      <w:pPr>
        <w:sectPr>
          <w:pgSz w:w="11900" w:h="16850" w:orient="portrait"/>
          <w:cols w:equalWidth="0" w:num="1">
            <w:col w:w="11420"/>
          </w:cols>
          <w:pgMar w:left="240" w:top="118" w:right="239" w:bottom="0" w:gutter="0" w:footer="0" w:header="0"/>
        </w:sectPr>
      </w:pPr>
    </w:p>
    <w:p>
      <w:pPr>
        <w:spacing w:after="0" w:line="214" w:lineRule="exact"/>
        <w:rPr>
          <w:sz w:val="20"/>
          <w:szCs w:val="20"/>
          <w:color w:val="auto"/>
        </w:rPr>
      </w:pPr>
    </w:p>
    <w:p>
      <w:pPr>
        <w:spacing w:after="0"/>
        <w:tabs>
          <w:tab w:leader="none" w:pos="600" w:val="left"/>
          <w:tab w:leader="none" w:pos="6840" w:val="left"/>
          <w:tab w:leader="none" w:pos="7120" w:val="left"/>
        </w:tabs>
        <w:rPr>
          <w:sz w:val="20"/>
          <w:szCs w:val="20"/>
          <w:color w:val="auto"/>
        </w:rPr>
      </w:pPr>
      <w:r>
        <w:rPr>
          <w:rFonts w:ascii="Arial" w:cs="Arial" w:eastAsia="Arial" w:hAnsi="Arial"/>
          <w:sz w:val="19"/>
          <w:szCs w:val="19"/>
          <w:color w:val="auto"/>
        </w:rPr>
        <w:t>·</w:t>
      </w:r>
      <w:r>
        <w:rPr>
          <w:sz w:val="20"/>
          <w:szCs w:val="20"/>
          <w:color w:val="auto"/>
        </w:rPr>
        <w:tab/>
      </w:r>
      <w:r>
        <w:rPr>
          <w:rFonts w:ascii="Arial" w:cs="Arial" w:eastAsia="Arial" w:hAnsi="Arial"/>
          <w:sz w:val="19"/>
          <w:szCs w:val="19"/>
          <w:color w:val="auto"/>
        </w:rPr>
        <w:t>Monster Energy®</w:t>
      </w:r>
      <w:r>
        <w:rPr>
          <w:sz w:val="20"/>
          <w:szCs w:val="20"/>
          <w:color w:val="auto"/>
        </w:rPr>
        <w:tab/>
      </w:r>
      <w:r>
        <w:rPr>
          <w:rFonts w:ascii="Arial" w:cs="Arial" w:eastAsia="Arial" w:hAnsi="Arial"/>
          <w:sz w:val="19"/>
          <w:szCs w:val="19"/>
          <w:color w:val="auto"/>
        </w:rPr>
        <w:t>·</w:t>
      </w:r>
      <w:r>
        <w:rPr>
          <w:sz w:val="20"/>
          <w:szCs w:val="20"/>
          <w:color w:val="auto"/>
        </w:rPr>
        <w:tab/>
      </w:r>
      <w:r>
        <w:rPr>
          <w:rFonts w:ascii="Arial" w:cs="Arial" w:eastAsia="Arial" w:hAnsi="Arial"/>
          <w:sz w:val="17"/>
          <w:szCs w:val="17"/>
          <w:color w:val="auto"/>
        </w:rPr>
        <w:t>Hansen’s®</w:t>
      </w:r>
    </w:p>
    <w:p>
      <w:pPr>
        <w:sectPr>
          <w:pgSz w:w="11900" w:h="16850" w:orient="portrait"/>
          <w:cols w:equalWidth="0" w:num="1">
            <w:col w:w="11420"/>
          </w:cols>
          <w:pgMar w:left="240" w:top="118" w:right="239" w:bottom="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218"/>
        </w:trPr>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5420" w:type="dxa"/>
            <w:vAlign w:val="bottom"/>
          </w:tcPr>
          <w:p>
            <w:pPr>
              <w:ind w:left="280"/>
              <w:spacing w:after="0"/>
              <w:rPr>
                <w:sz w:val="20"/>
                <w:szCs w:val="20"/>
                <w:color w:val="auto"/>
              </w:rPr>
            </w:pPr>
            <w:r>
              <w:rPr>
                <w:rFonts w:ascii="Arial" w:cs="Arial" w:eastAsia="Arial" w:hAnsi="Arial"/>
                <w:sz w:val="19"/>
                <w:szCs w:val="19"/>
                <w:color w:val="auto"/>
              </w:rPr>
              <w:t>Monster Rehab®</w:t>
            </w:r>
          </w:p>
        </w:tc>
        <w:tc>
          <w:tcPr>
            <w:tcW w:w="1260" w:type="dxa"/>
            <w:vAlign w:val="bottom"/>
          </w:tcPr>
          <w:p>
            <w:pPr>
              <w:jc w:val="right"/>
              <w:ind w:right="25"/>
              <w:spacing w:after="0"/>
              <w:rPr>
                <w:sz w:val="20"/>
                <w:szCs w:val="20"/>
                <w:color w:val="auto"/>
              </w:rPr>
            </w:pPr>
            <w:r>
              <w:rPr>
                <w:rFonts w:ascii="Arial" w:cs="Arial" w:eastAsia="Arial" w:hAnsi="Arial"/>
                <w:sz w:val="19"/>
                <w:szCs w:val="19"/>
                <w:color w:val="auto"/>
              </w:rPr>
              <w:t>·</w:t>
            </w:r>
          </w:p>
        </w:tc>
        <w:tc>
          <w:tcPr>
            <w:tcW w:w="2000" w:type="dxa"/>
            <w:vAlign w:val="bottom"/>
          </w:tcPr>
          <w:p>
            <w:pPr>
              <w:ind w:left="120"/>
              <w:spacing w:after="0"/>
              <w:rPr>
                <w:sz w:val="20"/>
                <w:szCs w:val="20"/>
                <w:color w:val="auto"/>
              </w:rPr>
            </w:pPr>
            <w:r>
              <w:rPr>
                <w:rFonts w:ascii="Arial" w:cs="Arial" w:eastAsia="Arial" w:hAnsi="Arial"/>
                <w:sz w:val="19"/>
                <w:szCs w:val="19"/>
                <w:color w:val="auto"/>
                <w:w w:val="88"/>
              </w:rPr>
              <w:t>Hansen’s Natural Soda®</w:t>
            </w:r>
          </w:p>
        </w:tc>
      </w:tr>
      <w:tr>
        <w:trPr>
          <w:trHeight w:val="216"/>
        </w:trPr>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5420" w:type="dxa"/>
            <w:vAlign w:val="bottom"/>
          </w:tcPr>
          <w:p>
            <w:pPr>
              <w:ind w:left="280"/>
              <w:spacing w:after="0" w:line="216" w:lineRule="exact"/>
              <w:rPr>
                <w:sz w:val="20"/>
                <w:szCs w:val="20"/>
                <w:color w:val="auto"/>
              </w:rPr>
            </w:pPr>
            <w:r>
              <w:rPr>
                <w:rFonts w:ascii="Arial" w:cs="Arial" w:eastAsia="Arial" w:hAnsi="Arial"/>
                <w:sz w:val="19"/>
                <w:szCs w:val="19"/>
                <w:color w:val="auto"/>
              </w:rPr>
              <w:t>Monster Energy Extra Strength Nitrous Technology®</w:t>
            </w:r>
          </w:p>
        </w:tc>
        <w:tc>
          <w:tcPr>
            <w:tcW w:w="1260" w:type="dxa"/>
            <w:vAlign w:val="bottom"/>
          </w:tcPr>
          <w:p>
            <w:pPr>
              <w:jc w:val="right"/>
              <w:ind w:right="25"/>
              <w:spacing w:after="0" w:line="216" w:lineRule="exact"/>
              <w:rPr>
                <w:sz w:val="20"/>
                <w:szCs w:val="20"/>
                <w:color w:val="auto"/>
              </w:rPr>
            </w:pPr>
            <w:r>
              <w:rPr>
                <w:rFonts w:ascii="Arial" w:cs="Arial" w:eastAsia="Arial" w:hAnsi="Arial"/>
                <w:sz w:val="19"/>
                <w:szCs w:val="19"/>
                <w:color w:val="auto"/>
              </w:rPr>
              <w:t>·</w:t>
            </w:r>
          </w:p>
        </w:tc>
        <w:tc>
          <w:tcPr>
            <w:tcW w:w="2000" w:type="dxa"/>
            <w:vAlign w:val="bottom"/>
          </w:tcPr>
          <w:p>
            <w:pPr>
              <w:ind w:left="120"/>
              <w:spacing w:after="0" w:line="216" w:lineRule="exact"/>
              <w:rPr>
                <w:sz w:val="20"/>
                <w:szCs w:val="20"/>
                <w:color w:val="auto"/>
              </w:rPr>
            </w:pPr>
            <w:r>
              <w:rPr>
                <w:rFonts w:ascii="Arial" w:cs="Arial" w:eastAsia="Arial" w:hAnsi="Arial"/>
                <w:sz w:val="19"/>
                <w:szCs w:val="19"/>
                <w:color w:val="auto"/>
              </w:rPr>
              <w:t>Junior Juice®</w:t>
            </w:r>
          </w:p>
        </w:tc>
      </w:tr>
      <w:tr>
        <w:trPr>
          <w:trHeight w:val="216"/>
        </w:trPr>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5420" w:type="dxa"/>
            <w:vAlign w:val="bottom"/>
          </w:tcPr>
          <w:p>
            <w:pPr>
              <w:ind w:left="280"/>
              <w:spacing w:after="0" w:line="216" w:lineRule="exact"/>
              <w:rPr>
                <w:sz w:val="20"/>
                <w:szCs w:val="20"/>
                <w:color w:val="auto"/>
              </w:rPr>
            </w:pPr>
            <w:r>
              <w:rPr>
                <w:rFonts w:ascii="Arial" w:cs="Arial" w:eastAsia="Arial" w:hAnsi="Arial"/>
                <w:sz w:val="19"/>
                <w:szCs w:val="19"/>
                <w:color w:val="auto"/>
              </w:rPr>
              <w:t>Java Monster®</w:t>
            </w:r>
          </w:p>
        </w:tc>
        <w:tc>
          <w:tcPr>
            <w:tcW w:w="1260" w:type="dxa"/>
            <w:vAlign w:val="bottom"/>
          </w:tcPr>
          <w:p>
            <w:pPr>
              <w:jc w:val="right"/>
              <w:ind w:right="25"/>
              <w:spacing w:after="0" w:line="216" w:lineRule="exact"/>
              <w:rPr>
                <w:sz w:val="20"/>
                <w:szCs w:val="20"/>
                <w:color w:val="auto"/>
              </w:rPr>
            </w:pPr>
            <w:r>
              <w:rPr>
                <w:rFonts w:ascii="Arial" w:cs="Arial" w:eastAsia="Arial" w:hAnsi="Arial"/>
                <w:sz w:val="19"/>
                <w:szCs w:val="19"/>
                <w:color w:val="auto"/>
              </w:rPr>
              <w:t>·</w:t>
            </w:r>
          </w:p>
        </w:tc>
        <w:tc>
          <w:tcPr>
            <w:tcW w:w="2000" w:type="dxa"/>
            <w:vAlign w:val="bottom"/>
          </w:tcPr>
          <w:p>
            <w:pPr>
              <w:ind w:left="120"/>
              <w:spacing w:after="0" w:line="216" w:lineRule="exact"/>
              <w:rPr>
                <w:sz w:val="20"/>
                <w:szCs w:val="20"/>
                <w:color w:val="auto"/>
              </w:rPr>
            </w:pPr>
            <w:r>
              <w:rPr>
                <w:rFonts w:ascii="Arial" w:cs="Arial" w:eastAsia="Arial" w:hAnsi="Arial"/>
                <w:sz w:val="19"/>
                <w:szCs w:val="19"/>
                <w:color w:val="auto"/>
              </w:rPr>
              <w:t>Blue Sky®</w:t>
            </w:r>
          </w:p>
        </w:tc>
      </w:tr>
      <w:tr>
        <w:trPr>
          <w:trHeight w:val="216"/>
        </w:trPr>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5420" w:type="dxa"/>
            <w:vAlign w:val="bottom"/>
          </w:tcPr>
          <w:p>
            <w:pPr>
              <w:ind w:left="280"/>
              <w:spacing w:after="0" w:line="216" w:lineRule="exact"/>
              <w:rPr>
                <w:sz w:val="20"/>
                <w:szCs w:val="20"/>
                <w:color w:val="auto"/>
              </w:rPr>
            </w:pPr>
            <w:r>
              <w:rPr>
                <w:rFonts w:ascii="Arial" w:cs="Arial" w:eastAsia="Arial" w:hAnsi="Arial"/>
                <w:sz w:val="19"/>
                <w:szCs w:val="19"/>
                <w:color w:val="auto"/>
              </w:rPr>
              <w:t>X-Presso Monster®</w:t>
            </w:r>
          </w:p>
        </w:tc>
        <w:tc>
          <w:tcPr>
            <w:tcW w:w="1260" w:type="dxa"/>
            <w:vAlign w:val="bottom"/>
          </w:tcPr>
          <w:p>
            <w:pPr>
              <w:jc w:val="right"/>
              <w:ind w:right="25"/>
              <w:spacing w:after="0" w:line="216" w:lineRule="exact"/>
              <w:rPr>
                <w:sz w:val="20"/>
                <w:szCs w:val="20"/>
                <w:color w:val="auto"/>
              </w:rPr>
            </w:pPr>
            <w:r>
              <w:rPr>
                <w:rFonts w:ascii="Arial" w:cs="Arial" w:eastAsia="Arial" w:hAnsi="Arial"/>
                <w:sz w:val="19"/>
                <w:szCs w:val="19"/>
                <w:color w:val="auto"/>
              </w:rPr>
              <w:t>·</w:t>
            </w:r>
          </w:p>
        </w:tc>
        <w:tc>
          <w:tcPr>
            <w:tcW w:w="2000" w:type="dxa"/>
            <w:vAlign w:val="bottom"/>
          </w:tcPr>
          <w:p>
            <w:pPr>
              <w:ind w:left="120"/>
              <w:spacing w:after="0" w:line="216" w:lineRule="exact"/>
              <w:rPr>
                <w:sz w:val="20"/>
                <w:szCs w:val="20"/>
                <w:color w:val="auto"/>
              </w:rPr>
            </w:pPr>
            <w:r>
              <w:rPr>
                <w:rFonts w:ascii="Arial" w:cs="Arial" w:eastAsia="Arial" w:hAnsi="Arial"/>
                <w:sz w:val="19"/>
                <w:szCs w:val="19"/>
                <w:color w:val="auto"/>
              </w:rPr>
              <w:t>Hubert’s®</w:t>
            </w:r>
          </w:p>
        </w:tc>
      </w:tr>
      <w:tr>
        <w:trPr>
          <w:trHeight w:val="232"/>
        </w:trPr>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5420" w:type="dxa"/>
            <w:vAlign w:val="bottom"/>
          </w:tcPr>
          <w:p>
            <w:pPr>
              <w:ind w:left="280"/>
              <w:spacing w:after="0"/>
              <w:rPr>
                <w:sz w:val="20"/>
                <w:szCs w:val="20"/>
                <w:color w:val="auto"/>
              </w:rPr>
            </w:pPr>
            <w:r>
              <w:rPr>
                <w:rFonts w:ascii="Arial" w:cs="Arial" w:eastAsia="Arial" w:hAnsi="Arial"/>
                <w:sz w:val="19"/>
                <w:szCs w:val="19"/>
                <w:color w:val="auto"/>
              </w:rPr>
              <w:t>Worx Energy®</w:t>
            </w:r>
          </w:p>
        </w:tc>
        <w:tc>
          <w:tcPr>
            <w:tcW w:w="1260" w:type="dxa"/>
            <w:vAlign w:val="bottom"/>
          </w:tcPr>
          <w:p>
            <w:pPr>
              <w:jc w:val="right"/>
              <w:ind w:right="25"/>
              <w:spacing w:after="0"/>
              <w:rPr>
                <w:sz w:val="20"/>
                <w:szCs w:val="20"/>
                <w:color w:val="auto"/>
              </w:rPr>
            </w:pPr>
            <w:r>
              <w:rPr>
                <w:rFonts w:ascii="Arial" w:cs="Arial" w:eastAsia="Arial" w:hAnsi="Arial"/>
                <w:sz w:val="19"/>
                <w:szCs w:val="19"/>
                <w:color w:val="auto"/>
              </w:rPr>
              <w:t>·</w:t>
            </w:r>
          </w:p>
        </w:tc>
        <w:tc>
          <w:tcPr>
            <w:tcW w:w="2000" w:type="dxa"/>
            <w:vAlign w:val="bottom"/>
          </w:tcPr>
          <w:p>
            <w:pPr>
              <w:ind w:left="120"/>
              <w:spacing w:after="0"/>
              <w:rPr>
                <w:sz w:val="20"/>
                <w:szCs w:val="20"/>
                <w:color w:val="auto"/>
              </w:rPr>
            </w:pPr>
            <w:r>
              <w:rPr>
                <w:rFonts w:ascii="Arial" w:cs="Arial" w:eastAsia="Arial" w:hAnsi="Arial"/>
                <w:sz w:val="19"/>
                <w:szCs w:val="19"/>
                <w:color w:val="auto"/>
              </w:rPr>
              <w:t>Vidration®</w:t>
            </w:r>
          </w:p>
        </w:tc>
      </w:tr>
    </w:tbl>
    <w:p>
      <w:pPr>
        <w:ind w:left="620" w:hanging="612"/>
        <w:spacing w:after="0"/>
        <w:tabs>
          <w:tab w:leader="none" w:pos="620" w:val="left"/>
        </w:tabs>
        <w:numPr>
          <w:ilvl w:val="0"/>
          <w:numId w:val="20"/>
        </w:numPr>
        <w:rPr>
          <w:rFonts w:ascii="Arial" w:cs="Arial" w:eastAsia="Arial" w:hAnsi="Arial"/>
          <w:sz w:val="19"/>
          <w:szCs w:val="19"/>
          <w:color w:val="auto"/>
        </w:rPr>
      </w:pPr>
      <w:r>
        <w:rPr>
          <w:rFonts w:ascii="Arial" w:cs="Arial" w:eastAsia="Arial" w:hAnsi="Arial"/>
          <w:sz w:val="19"/>
          <w:szCs w:val="19"/>
          <w:color w:val="auto"/>
        </w:rPr>
        <w:t>Peace Tea®</w:t>
      </w:r>
    </w:p>
    <w:p>
      <w:pPr>
        <w:spacing w:after="0" w:line="226"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Our Monster Energy® drinks, which represented 92.5% and 91.1% of our net sales for the three-months ended June 30, 2012 and 2011, respectively, include the following: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5540" w:type="dxa"/>
            <w:vAlign w:val="bottom"/>
          </w:tcPr>
          <w:p>
            <w:pPr>
              <w:ind w:left="280"/>
              <w:spacing w:after="0"/>
              <w:rPr>
                <w:sz w:val="20"/>
                <w:szCs w:val="20"/>
                <w:color w:val="auto"/>
              </w:rPr>
            </w:pPr>
            <w:r>
              <w:rPr>
                <w:rFonts w:ascii="Arial" w:cs="Arial" w:eastAsia="Arial" w:hAnsi="Arial"/>
                <w:sz w:val="19"/>
                <w:szCs w:val="19"/>
                <w:color w:val="auto"/>
              </w:rPr>
              <w:t>Monster Energy®</w:t>
            </w:r>
          </w:p>
        </w:tc>
        <w:tc>
          <w:tcPr>
            <w:tcW w:w="4240" w:type="dxa"/>
            <w:vAlign w:val="bottom"/>
            <w:gridSpan w:val="2"/>
          </w:tcPr>
          <w:p>
            <w:pPr>
              <w:ind w:left="980"/>
              <w:spacing w:after="0"/>
              <w:rPr>
                <w:sz w:val="20"/>
                <w:szCs w:val="20"/>
                <w:color w:val="auto"/>
              </w:rPr>
            </w:pPr>
            <w:r>
              <w:rPr>
                <w:rFonts w:ascii="Arial" w:cs="Arial" w:eastAsia="Arial" w:hAnsi="Arial"/>
                <w:sz w:val="18"/>
                <w:szCs w:val="18"/>
                <w:color w:val="auto"/>
              </w:rPr>
              <w:t>·   Java Monster® Kona Blend</w:t>
            </w:r>
          </w:p>
        </w:tc>
      </w:tr>
      <w:tr>
        <w:trPr>
          <w:trHeight w:val="216"/>
        </w:trPr>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5540" w:type="dxa"/>
            <w:vAlign w:val="bottom"/>
          </w:tcPr>
          <w:p>
            <w:pPr>
              <w:ind w:left="280"/>
              <w:spacing w:after="0" w:line="216" w:lineRule="exact"/>
              <w:rPr>
                <w:sz w:val="20"/>
                <w:szCs w:val="20"/>
                <w:color w:val="auto"/>
              </w:rPr>
            </w:pPr>
            <w:r>
              <w:rPr>
                <w:rFonts w:ascii="Arial" w:cs="Arial" w:eastAsia="Arial" w:hAnsi="Arial"/>
                <w:sz w:val="19"/>
                <w:szCs w:val="19"/>
                <w:color w:val="auto"/>
              </w:rPr>
              <w:t>Lo-Carb Monster Energy®</w:t>
            </w:r>
          </w:p>
        </w:tc>
        <w:tc>
          <w:tcPr>
            <w:tcW w:w="4240" w:type="dxa"/>
            <w:vAlign w:val="bottom"/>
            <w:gridSpan w:val="2"/>
          </w:tcPr>
          <w:p>
            <w:pPr>
              <w:ind w:left="980"/>
              <w:spacing w:after="0"/>
              <w:rPr>
                <w:sz w:val="20"/>
                <w:szCs w:val="20"/>
                <w:color w:val="auto"/>
              </w:rPr>
            </w:pPr>
            <w:r>
              <w:rPr>
                <w:rFonts w:ascii="Arial" w:cs="Arial" w:eastAsia="Arial" w:hAnsi="Arial"/>
                <w:sz w:val="18"/>
                <w:szCs w:val="18"/>
                <w:color w:val="auto"/>
              </w:rPr>
              <w:t>·   Java Monster® Loca Moca®</w:t>
            </w:r>
          </w:p>
        </w:tc>
      </w:tr>
      <w:tr>
        <w:trPr>
          <w:trHeight w:val="216"/>
        </w:trPr>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5540" w:type="dxa"/>
            <w:vAlign w:val="bottom"/>
          </w:tcPr>
          <w:p>
            <w:pPr>
              <w:ind w:left="280"/>
              <w:spacing w:after="0" w:line="216" w:lineRule="exact"/>
              <w:rPr>
                <w:sz w:val="20"/>
                <w:szCs w:val="20"/>
                <w:color w:val="auto"/>
              </w:rPr>
            </w:pPr>
            <w:r>
              <w:rPr>
                <w:rFonts w:ascii="Arial" w:cs="Arial" w:eastAsia="Arial" w:hAnsi="Arial"/>
                <w:sz w:val="19"/>
                <w:szCs w:val="19"/>
                <w:color w:val="auto"/>
              </w:rPr>
              <w:t>Monster Energy® Assault®</w:t>
            </w:r>
          </w:p>
        </w:tc>
        <w:tc>
          <w:tcPr>
            <w:tcW w:w="4240" w:type="dxa"/>
            <w:vAlign w:val="bottom"/>
            <w:gridSpan w:val="2"/>
          </w:tcPr>
          <w:p>
            <w:pPr>
              <w:ind w:left="980"/>
              <w:spacing w:after="0"/>
              <w:rPr>
                <w:sz w:val="20"/>
                <w:szCs w:val="20"/>
                <w:color w:val="auto"/>
              </w:rPr>
            </w:pPr>
            <w:r>
              <w:rPr>
                <w:rFonts w:ascii="Arial" w:cs="Arial" w:eastAsia="Arial" w:hAnsi="Arial"/>
                <w:sz w:val="18"/>
                <w:szCs w:val="18"/>
                <w:color w:val="auto"/>
              </w:rPr>
              <w:t>·   Java Monster® Mean Bean®</w:t>
            </w:r>
          </w:p>
        </w:tc>
      </w:tr>
      <w:tr>
        <w:trPr>
          <w:trHeight w:val="216"/>
        </w:trPr>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5540" w:type="dxa"/>
            <w:vAlign w:val="bottom"/>
          </w:tcPr>
          <w:p>
            <w:pPr>
              <w:ind w:left="280"/>
              <w:spacing w:after="0" w:line="216" w:lineRule="exact"/>
              <w:rPr>
                <w:sz w:val="20"/>
                <w:szCs w:val="20"/>
                <w:color w:val="auto"/>
              </w:rPr>
            </w:pPr>
            <w:r>
              <w:rPr>
                <w:rFonts w:ascii="Arial" w:cs="Arial" w:eastAsia="Arial" w:hAnsi="Arial"/>
                <w:sz w:val="19"/>
                <w:szCs w:val="19"/>
                <w:color w:val="auto"/>
              </w:rPr>
              <w:t>Monster Khaos®</w:t>
            </w:r>
          </w:p>
        </w:tc>
        <w:tc>
          <w:tcPr>
            <w:tcW w:w="4240" w:type="dxa"/>
            <w:vAlign w:val="bottom"/>
            <w:gridSpan w:val="2"/>
          </w:tcPr>
          <w:p>
            <w:pPr>
              <w:ind w:left="980"/>
              <w:spacing w:after="0"/>
              <w:rPr>
                <w:sz w:val="20"/>
                <w:szCs w:val="20"/>
                <w:color w:val="auto"/>
              </w:rPr>
            </w:pPr>
            <w:r>
              <w:rPr>
                <w:rFonts w:ascii="Arial" w:cs="Arial" w:eastAsia="Arial" w:hAnsi="Arial"/>
                <w:sz w:val="18"/>
                <w:szCs w:val="18"/>
                <w:color w:val="auto"/>
              </w:rPr>
              <w:t>·   Java Monster® Vanilla Light</w:t>
            </w:r>
          </w:p>
        </w:tc>
      </w:tr>
      <w:tr>
        <w:trPr>
          <w:trHeight w:val="216"/>
        </w:trPr>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5540" w:type="dxa"/>
            <w:vAlign w:val="bottom"/>
          </w:tcPr>
          <w:p>
            <w:pPr>
              <w:ind w:left="280"/>
              <w:spacing w:after="0" w:line="216" w:lineRule="exact"/>
              <w:rPr>
                <w:sz w:val="20"/>
                <w:szCs w:val="20"/>
                <w:color w:val="auto"/>
              </w:rPr>
            </w:pPr>
            <w:r>
              <w:rPr>
                <w:rFonts w:ascii="Arial" w:cs="Arial" w:eastAsia="Arial" w:hAnsi="Arial"/>
                <w:sz w:val="19"/>
                <w:szCs w:val="19"/>
                <w:color w:val="auto"/>
              </w:rPr>
              <w:t>Monster M-80® (named “RIPPER” in certain countries)</w:t>
            </w:r>
          </w:p>
        </w:tc>
        <w:tc>
          <w:tcPr>
            <w:tcW w:w="4240" w:type="dxa"/>
            <w:vAlign w:val="bottom"/>
            <w:gridSpan w:val="2"/>
          </w:tcPr>
          <w:p>
            <w:pPr>
              <w:ind w:left="980"/>
              <w:spacing w:after="0"/>
              <w:rPr>
                <w:sz w:val="20"/>
                <w:szCs w:val="20"/>
                <w:color w:val="auto"/>
              </w:rPr>
            </w:pPr>
            <w:r>
              <w:rPr>
                <w:rFonts w:ascii="Arial" w:cs="Arial" w:eastAsia="Arial" w:hAnsi="Arial"/>
                <w:sz w:val="18"/>
                <w:szCs w:val="18"/>
                <w:color w:val="auto"/>
              </w:rPr>
              <w:t>·   Java Monster® Irish Blend®</w:t>
            </w:r>
          </w:p>
        </w:tc>
      </w:tr>
      <w:tr>
        <w:trPr>
          <w:trHeight w:val="216"/>
        </w:trPr>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5540" w:type="dxa"/>
            <w:vAlign w:val="bottom"/>
          </w:tcPr>
          <w:p>
            <w:pPr>
              <w:ind w:left="280"/>
              <w:spacing w:after="0" w:line="216" w:lineRule="exact"/>
              <w:rPr>
                <w:sz w:val="20"/>
                <w:szCs w:val="20"/>
                <w:color w:val="auto"/>
              </w:rPr>
            </w:pPr>
            <w:r>
              <w:rPr>
                <w:rFonts w:ascii="Arial" w:cs="Arial" w:eastAsia="Arial" w:hAnsi="Arial"/>
                <w:sz w:val="19"/>
                <w:szCs w:val="19"/>
                <w:color w:val="auto"/>
              </w:rPr>
              <w:t>Monster MIXXD®</w:t>
            </w:r>
          </w:p>
        </w:tc>
        <w:tc>
          <w:tcPr>
            <w:tcW w:w="1140" w:type="dxa"/>
            <w:vAlign w:val="bottom"/>
          </w:tcPr>
          <w:p>
            <w:pPr>
              <w:ind w:left="980"/>
              <w:spacing w:after="0"/>
              <w:rPr>
                <w:sz w:val="20"/>
                <w:szCs w:val="20"/>
                <w:color w:val="auto"/>
              </w:rPr>
            </w:pPr>
            <w:r>
              <w:rPr>
                <w:rFonts w:ascii="Arial" w:cs="Arial" w:eastAsia="Arial" w:hAnsi="Arial"/>
                <w:sz w:val="18"/>
                <w:szCs w:val="18"/>
                <w:color w:val="auto"/>
              </w:rPr>
              <w:t>·</w:t>
            </w:r>
          </w:p>
        </w:tc>
        <w:tc>
          <w:tcPr>
            <w:tcW w:w="3100" w:type="dxa"/>
            <w:vAlign w:val="bottom"/>
          </w:tcPr>
          <w:p>
            <w:pPr>
              <w:ind w:left="120"/>
              <w:spacing w:after="0" w:line="216" w:lineRule="exact"/>
              <w:rPr>
                <w:sz w:val="20"/>
                <w:szCs w:val="20"/>
                <w:color w:val="auto"/>
              </w:rPr>
            </w:pPr>
            <w:r>
              <w:rPr>
                <w:rFonts w:ascii="Arial" w:cs="Arial" w:eastAsia="Arial" w:hAnsi="Arial"/>
                <w:sz w:val="19"/>
                <w:szCs w:val="19"/>
                <w:color w:val="auto"/>
              </w:rPr>
              <w:t>Java Monster® Toffee</w:t>
            </w:r>
          </w:p>
        </w:tc>
      </w:tr>
      <w:tr>
        <w:trPr>
          <w:trHeight w:val="216"/>
        </w:trPr>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5540" w:type="dxa"/>
            <w:vAlign w:val="bottom"/>
          </w:tcPr>
          <w:p>
            <w:pPr>
              <w:ind w:left="280"/>
              <w:spacing w:after="0" w:line="216" w:lineRule="exact"/>
              <w:rPr>
                <w:sz w:val="20"/>
                <w:szCs w:val="20"/>
                <w:color w:val="auto"/>
              </w:rPr>
            </w:pPr>
            <w:r>
              <w:rPr>
                <w:rFonts w:ascii="Arial" w:cs="Arial" w:eastAsia="Arial" w:hAnsi="Arial"/>
                <w:sz w:val="19"/>
                <w:szCs w:val="19"/>
                <w:color w:val="auto"/>
              </w:rPr>
              <w:t>Monster Energy® Absolutely Zero</w:t>
            </w:r>
          </w:p>
        </w:tc>
        <w:tc>
          <w:tcPr>
            <w:tcW w:w="4240" w:type="dxa"/>
            <w:vAlign w:val="bottom"/>
            <w:gridSpan w:val="2"/>
          </w:tcPr>
          <w:p>
            <w:pPr>
              <w:ind w:left="980"/>
              <w:spacing w:after="0"/>
              <w:rPr>
                <w:sz w:val="20"/>
                <w:szCs w:val="20"/>
                <w:color w:val="auto"/>
              </w:rPr>
            </w:pPr>
            <w:r>
              <w:rPr>
                <w:rFonts w:ascii="Arial" w:cs="Arial" w:eastAsia="Arial" w:hAnsi="Arial"/>
                <w:sz w:val="18"/>
                <w:szCs w:val="18"/>
                <w:color w:val="auto"/>
                <w:w w:val="98"/>
              </w:rPr>
              <w:t>·   Monster Energy Extra Strength Nitrous</w:t>
            </w:r>
          </w:p>
        </w:tc>
      </w:tr>
      <w:tr>
        <w:trPr>
          <w:trHeight w:val="216"/>
        </w:trPr>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5540" w:type="dxa"/>
            <w:vAlign w:val="bottom"/>
          </w:tcPr>
          <w:p>
            <w:pPr>
              <w:ind w:left="280"/>
              <w:spacing w:after="0" w:line="216" w:lineRule="exact"/>
              <w:rPr>
                <w:sz w:val="20"/>
                <w:szCs w:val="20"/>
                <w:color w:val="auto"/>
              </w:rPr>
            </w:pPr>
            <w:r>
              <w:rPr>
                <w:rFonts w:ascii="Arial" w:cs="Arial" w:eastAsia="Arial" w:hAnsi="Arial"/>
                <w:sz w:val="19"/>
                <w:szCs w:val="19"/>
                <w:color w:val="auto"/>
              </w:rPr>
              <w:t>Monster Energy® Import</w:t>
            </w:r>
          </w:p>
        </w:tc>
        <w:tc>
          <w:tcPr>
            <w:tcW w:w="1140" w:type="dxa"/>
            <w:vAlign w:val="bottom"/>
          </w:tcPr>
          <w:p>
            <w:pPr>
              <w:spacing w:after="0"/>
              <w:rPr>
                <w:sz w:val="18"/>
                <w:szCs w:val="18"/>
                <w:color w:val="auto"/>
              </w:rPr>
            </w:pPr>
          </w:p>
        </w:tc>
        <w:tc>
          <w:tcPr>
            <w:tcW w:w="3100" w:type="dxa"/>
            <w:vAlign w:val="bottom"/>
          </w:tcPr>
          <w:p>
            <w:pPr>
              <w:ind w:left="160"/>
              <w:spacing w:after="0" w:line="216" w:lineRule="exact"/>
              <w:rPr>
                <w:sz w:val="20"/>
                <w:szCs w:val="20"/>
                <w:color w:val="auto"/>
              </w:rPr>
            </w:pPr>
            <w:r>
              <w:rPr>
                <w:rFonts w:ascii="Arial" w:cs="Arial" w:eastAsia="Arial" w:hAnsi="Arial"/>
                <w:sz w:val="19"/>
                <w:szCs w:val="19"/>
                <w:color w:val="auto"/>
              </w:rPr>
              <w:t>Technology® Super Dry™</w:t>
            </w:r>
          </w:p>
        </w:tc>
      </w:tr>
      <w:tr>
        <w:trPr>
          <w:trHeight w:val="216"/>
        </w:trPr>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5540" w:type="dxa"/>
            <w:vAlign w:val="bottom"/>
          </w:tcPr>
          <w:p>
            <w:pPr>
              <w:ind w:left="280"/>
              <w:spacing w:after="0" w:line="216" w:lineRule="exact"/>
              <w:rPr>
                <w:sz w:val="20"/>
                <w:szCs w:val="20"/>
                <w:color w:val="auto"/>
              </w:rPr>
            </w:pPr>
            <w:r>
              <w:rPr>
                <w:rFonts w:ascii="Arial" w:cs="Arial" w:eastAsia="Arial" w:hAnsi="Arial"/>
                <w:sz w:val="19"/>
                <w:szCs w:val="19"/>
                <w:color w:val="auto"/>
              </w:rPr>
              <w:t>Monster Energy® Import Light</w:t>
            </w:r>
          </w:p>
        </w:tc>
        <w:tc>
          <w:tcPr>
            <w:tcW w:w="4240" w:type="dxa"/>
            <w:vAlign w:val="bottom"/>
            <w:gridSpan w:val="2"/>
          </w:tcPr>
          <w:p>
            <w:pPr>
              <w:ind w:left="980"/>
              <w:spacing w:after="0"/>
              <w:rPr>
                <w:sz w:val="20"/>
                <w:szCs w:val="20"/>
                <w:color w:val="auto"/>
              </w:rPr>
            </w:pPr>
            <w:r>
              <w:rPr>
                <w:rFonts w:ascii="Arial" w:cs="Arial" w:eastAsia="Arial" w:hAnsi="Arial"/>
                <w:sz w:val="18"/>
                <w:szCs w:val="18"/>
                <w:color w:val="auto"/>
                <w:w w:val="98"/>
              </w:rPr>
              <w:t>·   Monster Energy Extra Strength Nitrous</w:t>
            </w:r>
          </w:p>
        </w:tc>
      </w:tr>
      <w:tr>
        <w:trPr>
          <w:trHeight w:val="216"/>
        </w:trPr>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5540" w:type="dxa"/>
            <w:vAlign w:val="bottom"/>
          </w:tcPr>
          <w:p>
            <w:pPr>
              <w:ind w:left="280"/>
              <w:spacing w:after="0" w:line="216" w:lineRule="exact"/>
              <w:rPr>
                <w:sz w:val="20"/>
                <w:szCs w:val="20"/>
                <w:color w:val="auto"/>
              </w:rPr>
            </w:pPr>
            <w:r>
              <w:rPr>
                <w:rFonts w:ascii="Arial" w:cs="Arial" w:eastAsia="Arial" w:hAnsi="Arial"/>
                <w:sz w:val="19"/>
                <w:szCs w:val="19"/>
                <w:color w:val="auto"/>
              </w:rPr>
              <w:t>Monster Energy® Dub Edition</w:t>
            </w:r>
          </w:p>
        </w:tc>
        <w:tc>
          <w:tcPr>
            <w:tcW w:w="1140" w:type="dxa"/>
            <w:vAlign w:val="bottom"/>
          </w:tcPr>
          <w:p>
            <w:pPr>
              <w:spacing w:after="0"/>
              <w:rPr>
                <w:sz w:val="18"/>
                <w:szCs w:val="18"/>
                <w:color w:val="auto"/>
              </w:rPr>
            </w:pPr>
          </w:p>
        </w:tc>
        <w:tc>
          <w:tcPr>
            <w:tcW w:w="3100" w:type="dxa"/>
            <w:vAlign w:val="bottom"/>
          </w:tcPr>
          <w:p>
            <w:pPr>
              <w:ind w:left="160"/>
              <w:spacing w:after="0" w:line="216" w:lineRule="exact"/>
              <w:rPr>
                <w:sz w:val="20"/>
                <w:szCs w:val="20"/>
                <w:color w:val="auto"/>
              </w:rPr>
            </w:pPr>
            <w:r>
              <w:rPr>
                <w:rFonts w:ascii="Arial" w:cs="Arial" w:eastAsia="Arial" w:hAnsi="Arial"/>
                <w:sz w:val="19"/>
                <w:szCs w:val="19"/>
                <w:color w:val="auto"/>
              </w:rPr>
              <w:t>Technology® Anti-Gravity®</w:t>
            </w:r>
          </w:p>
        </w:tc>
      </w:tr>
      <w:tr>
        <w:trPr>
          <w:trHeight w:val="216"/>
        </w:trPr>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5540" w:type="dxa"/>
            <w:vAlign w:val="bottom"/>
          </w:tcPr>
          <w:p>
            <w:pPr>
              <w:ind w:left="280"/>
              <w:spacing w:after="0" w:line="216" w:lineRule="exact"/>
              <w:rPr>
                <w:sz w:val="20"/>
                <w:szCs w:val="20"/>
                <w:color w:val="auto"/>
              </w:rPr>
            </w:pPr>
            <w:r>
              <w:rPr>
                <w:rFonts w:ascii="Arial" w:cs="Arial" w:eastAsia="Arial" w:hAnsi="Arial"/>
                <w:sz w:val="19"/>
                <w:szCs w:val="19"/>
                <w:color w:val="auto"/>
              </w:rPr>
              <w:t>Monster Rehab® Tea + Lemonade + Energy</w:t>
            </w:r>
          </w:p>
        </w:tc>
        <w:tc>
          <w:tcPr>
            <w:tcW w:w="4240" w:type="dxa"/>
            <w:vAlign w:val="bottom"/>
            <w:gridSpan w:val="2"/>
          </w:tcPr>
          <w:p>
            <w:pPr>
              <w:ind w:left="980"/>
              <w:spacing w:after="0"/>
              <w:rPr>
                <w:sz w:val="20"/>
                <w:szCs w:val="20"/>
                <w:color w:val="auto"/>
              </w:rPr>
            </w:pPr>
            <w:r>
              <w:rPr>
                <w:rFonts w:ascii="Arial" w:cs="Arial" w:eastAsia="Arial" w:hAnsi="Arial"/>
                <w:sz w:val="18"/>
                <w:szCs w:val="18"/>
                <w:color w:val="auto"/>
                <w:w w:val="98"/>
              </w:rPr>
              <w:t>·   Monster Energy Extra Strength Nitrous</w:t>
            </w:r>
          </w:p>
        </w:tc>
      </w:tr>
      <w:tr>
        <w:trPr>
          <w:trHeight w:val="216"/>
        </w:trPr>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5540" w:type="dxa"/>
            <w:vAlign w:val="bottom"/>
          </w:tcPr>
          <w:p>
            <w:pPr>
              <w:ind w:left="280"/>
              <w:spacing w:after="0" w:line="216" w:lineRule="exact"/>
              <w:rPr>
                <w:sz w:val="20"/>
                <w:szCs w:val="20"/>
                <w:color w:val="auto"/>
              </w:rPr>
            </w:pPr>
            <w:r>
              <w:rPr>
                <w:rFonts w:ascii="Arial" w:cs="Arial" w:eastAsia="Arial" w:hAnsi="Arial"/>
                <w:sz w:val="19"/>
                <w:szCs w:val="19"/>
                <w:color w:val="auto"/>
              </w:rPr>
              <w:t>Monster Rehab® Rojo Tea + Energy</w:t>
            </w:r>
          </w:p>
        </w:tc>
        <w:tc>
          <w:tcPr>
            <w:tcW w:w="1140" w:type="dxa"/>
            <w:vAlign w:val="bottom"/>
          </w:tcPr>
          <w:p>
            <w:pPr>
              <w:spacing w:after="0"/>
              <w:rPr>
                <w:sz w:val="18"/>
                <w:szCs w:val="18"/>
                <w:color w:val="auto"/>
              </w:rPr>
            </w:pPr>
          </w:p>
        </w:tc>
        <w:tc>
          <w:tcPr>
            <w:tcW w:w="3100" w:type="dxa"/>
            <w:vAlign w:val="bottom"/>
          </w:tcPr>
          <w:p>
            <w:pPr>
              <w:ind w:left="160"/>
              <w:spacing w:after="0" w:line="216" w:lineRule="exact"/>
              <w:rPr>
                <w:sz w:val="20"/>
                <w:szCs w:val="20"/>
                <w:color w:val="auto"/>
              </w:rPr>
            </w:pPr>
            <w:r>
              <w:rPr>
                <w:rFonts w:ascii="Arial" w:cs="Arial" w:eastAsia="Arial" w:hAnsi="Arial"/>
                <w:sz w:val="19"/>
                <w:szCs w:val="19"/>
                <w:color w:val="auto"/>
              </w:rPr>
              <w:t>Technology® Killer B®</w:t>
            </w:r>
          </w:p>
        </w:tc>
      </w:tr>
      <w:tr>
        <w:trPr>
          <w:trHeight w:val="216"/>
        </w:trPr>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5540" w:type="dxa"/>
            <w:vAlign w:val="bottom"/>
          </w:tcPr>
          <w:p>
            <w:pPr>
              <w:ind w:left="280"/>
              <w:spacing w:after="0" w:line="216" w:lineRule="exact"/>
              <w:rPr>
                <w:sz w:val="20"/>
                <w:szCs w:val="20"/>
                <w:color w:val="auto"/>
              </w:rPr>
            </w:pPr>
            <w:r>
              <w:rPr>
                <w:rFonts w:ascii="Arial" w:cs="Arial" w:eastAsia="Arial" w:hAnsi="Arial"/>
                <w:sz w:val="19"/>
                <w:szCs w:val="19"/>
                <w:color w:val="auto"/>
              </w:rPr>
              <w:t>Monster Rehab® Green Tea + Energy</w:t>
            </w:r>
          </w:p>
        </w:tc>
        <w:tc>
          <w:tcPr>
            <w:tcW w:w="4240" w:type="dxa"/>
            <w:vAlign w:val="bottom"/>
            <w:gridSpan w:val="2"/>
          </w:tcPr>
          <w:p>
            <w:pPr>
              <w:ind w:left="980"/>
              <w:spacing w:after="0"/>
              <w:rPr>
                <w:sz w:val="20"/>
                <w:szCs w:val="20"/>
                <w:color w:val="auto"/>
              </w:rPr>
            </w:pPr>
            <w:r>
              <w:rPr>
                <w:rFonts w:ascii="Arial" w:cs="Arial" w:eastAsia="Arial" w:hAnsi="Arial"/>
                <w:sz w:val="18"/>
                <w:szCs w:val="18"/>
                <w:color w:val="auto"/>
                <w:w w:val="98"/>
              </w:rPr>
              <w:t>·   Monster Energy Extra Strength Nitrous</w:t>
            </w:r>
          </w:p>
        </w:tc>
      </w:tr>
      <w:tr>
        <w:trPr>
          <w:trHeight w:val="216"/>
        </w:trPr>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5540" w:type="dxa"/>
            <w:vAlign w:val="bottom"/>
          </w:tcPr>
          <w:p>
            <w:pPr>
              <w:ind w:left="280"/>
              <w:spacing w:after="0" w:line="216" w:lineRule="exact"/>
              <w:rPr>
                <w:sz w:val="20"/>
                <w:szCs w:val="20"/>
                <w:color w:val="auto"/>
              </w:rPr>
            </w:pPr>
            <w:r>
              <w:rPr>
                <w:rFonts w:ascii="Arial" w:cs="Arial" w:eastAsia="Arial" w:hAnsi="Arial"/>
                <w:sz w:val="19"/>
                <w:szCs w:val="19"/>
                <w:color w:val="auto"/>
              </w:rPr>
              <w:t>Monster Rehab® Protean + Energy</w:t>
            </w:r>
          </w:p>
        </w:tc>
        <w:tc>
          <w:tcPr>
            <w:tcW w:w="1140" w:type="dxa"/>
            <w:vAlign w:val="bottom"/>
          </w:tcPr>
          <w:p>
            <w:pPr>
              <w:spacing w:after="0"/>
              <w:rPr>
                <w:sz w:val="18"/>
                <w:szCs w:val="18"/>
                <w:color w:val="auto"/>
              </w:rPr>
            </w:pPr>
          </w:p>
        </w:tc>
        <w:tc>
          <w:tcPr>
            <w:tcW w:w="3100" w:type="dxa"/>
            <w:vAlign w:val="bottom"/>
          </w:tcPr>
          <w:p>
            <w:pPr>
              <w:ind w:left="160"/>
              <w:spacing w:after="0" w:line="216" w:lineRule="exact"/>
              <w:rPr>
                <w:sz w:val="20"/>
                <w:szCs w:val="20"/>
                <w:color w:val="auto"/>
              </w:rPr>
            </w:pPr>
            <w:r>
              <w:rPr>
                <w:rFonts w:ascii="Arial" w:cs="Arial" w:eastAsia="Arial" w:hAnsi="Arial"/>
                <w:sz w:val="19"/>
                <w:szCs w:val="19"/>
                <w:color w:val="auto"/>
              </w:rPr>
              <w:t>Technology® Black Ice™</w:t>
            </w:r>
          </w:p>
        </w:tc>
      </w:tr>
      <w:tr>
        <w:trPr>
          <w:trHeight w:val="216"/>
        </w:trPr>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5540" w:type="dxa"/>
            <w:vAlign w:val="bottom"/>
          </w:tcPr>
          <w:p>
            <w:pPr>
              <w:ind w:left="280"/>
              <w:spacing w:after="0" w:line="216" w:lineRule="exact"/>
              <w:rPr>
                <w:sz w:val="20"/>
                <w:szCs w:val="20"/>
                <w:color w:val="auto"/>
              </w:rPr>
            </w:pPr>
            <w:r>
              <w:rPr>
                <w:rFonts w:ascii="Arial" w:cs="Arial" w:eastAsia="Arial" w:hAnsi="Arial"/>
                <w:sz w:val="19"/>
                <w:szCs w:val="19"/>
                <w:color w:val="auto"/>
              </w:rPr>
              <w:t>Monster Rehab® Tea + Orangeade + Energy</w:t>
            </w:r>
          </w:p>
        </w:tc>
        <w:tc>
          <w:tcPr>
            <w:tcW w:w="1140" w:type="dxa"/>
            <w:vAlign w:val="bottom"/>
          </w:tcPr>
          <w:p>
            <w:pPr>
              <w:ind w:left="980"/>
              <w:spacing w:after="0"/>
              <w:rPr>
                <w:sz w:val="20"/>
                <w:szCs w:val="20"/>
                <w:color w:val="auto"/>
              </w:rPr>
            </w:pPr>
            <w:r>
              <w:rPr>
                <w:rFonts w:ascii="Arial" w:cs="Arial" w:eastAsia="Arial" w:hAnsi="Arial"/>
                <w:sz w:val="18"/>
                <w:szCs w:val="18"/>
                <w:color w:val="auto"/>
              </w:rPr>
              <w:t>·</w:t>
            </w:r>
          </w:p>
        </w:tc>
        <w:tc>
          <w:tcPr>
            <w:tcW w:w="3100" w:type="dxa"/>
            <w:vAlign w:val="bottom"/>
          </w:tcPr>
          <w:p>
            <w:pPr>
              <w:ind w:left="120"/>
              <w:spacing w:after="0" w:line="216" w:lineRule="exact"/>
              <w:rPr>
                <w:sz w:val="20"/>
                <w:szCs w:val="20"/>
                <w:color w:val="auto"/>
              </w:rPr>
            </w:pPr>
            <w:r>
              <w:rPr>
                <w:rFonts w:ascii="Arial" w:cs="Arial" w:eastAsia="Arial" w:hAnsi="Arial"/>
                <w:sz w:val="19"/>
                <w:szCs w:val="19"/>
                <w:color w:val="auto"/>
              </w:rPr>
              <w:t>X-Presso Monster® Hammer</w:t>
            </w:r>
          </w:p>
        </w:tc>
      </w:tr>
      <w:tr>
        <w:trPr>
          <w:trHeight w:val="232"/>
        </w:trPr>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5540" w:type="dxa"/>
            <w:vAlign w:val="bottom"/>
          </w:tcPr>
          <w:p>
            <w:pPr>
              <w:ind w:left="280"/>
              <w:spacing w:after="0"/>
              <w:rPr>
                <w:sz w:val="20"/>
                <w:szCs w:val="20"/>
                <w:color w:val="auto"/>
              </w:rPr>
            </w:pPr>
            <w:r>
              <w:rPr>
                <w:rFonts w:ascii="Arial" w:cs="Arial" w:eastAsia="Arial" w:hAnsi="Arial"/>
                <w:sz w:val="19"/>
                <w:szCs w:val="19"/>
                <w:color w:val="auto"/>
              </w:rPr>
              <w:t>M3® Monster Energy® Super Concentrate</w:t>
            </w:r>
          </w:p>
        </w:tc>
        <w:tc>
          <w:tcPr>
            <w:tcW w:w="1140" w:type="dxa"/>
            <w:vAlign w:val="bottom"/>
          </w:tcPr>
          <w:p>
            <w:pPr>
              <w:ind w:left="980"/>
              <w:spacing w:after="0"/>
              <w:rPr>
                <w:sz w:val="20"/>
                <w:szCs w:val="20"/>
                <w:color w:val="auto"/>
              </w:rPr>
            </w:pPr>
            <w:r>
              <w:rPr>
                <w:rFonts w:ascii="Arial" w:cs="Arial" w:eastAsia="Arial" w:hAnsi="Arial"/>
                <w:sz w:val="18"/>
                <w:szCs w:val="18"/>
                <w:color w:val="auto"/>
              </w:rPr>
              <w:t>·</w:t>
            </w:r>
          </w:p>
        </w:tc>
        <w:tc>
          <w:tcPr>
            <w:tcW w:w="3100" w:type="dxa"/>
            <w:vAlign w:val="bottom"/>
          </w:tcPr>
          <w:p>
            <w:pPr>
              <w:ind w:left="120"/>
              <w:spacing w:after="0"/>
              <w:rPr>
                <w:sz w:val="20"/>
                <w:szCs w:val="20"/>
                <w:color w:val="auto"/>
              </w:rPr>
            </w:pPr>
            <w:r>
              <w:rPr>
                <w:rFonts w:ascii="Arial" w:cs="Arial" w:eastAsia="Arial" w:hAnsi="Arial"/>
                <w:sz w:val="19"/>
                <w:szCs w:val="19"/>
                <w:color w:val="auto"/>
              </w:rPr>
              <w:t>X-Presso Monster® Midnite</w:t>
            </w:r>
          </w:p>
        </w:tc>
      </w:tr>
    </w:tbl>
    <w:p>
      <w:pPr>
        <w:ind w:left="620" w:hanging="612"/>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9"/>
          <w:szCs w:val="19"/>
          <w:color w:val="auto"/>
        </w:rPr>
        <w:t>Übermonster™ Energy Brew</w:t>
      </w:r>
    </w:p>
    <w:p>
      <w:pPr>
        <w:spacing w:after="0" w:line="22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We have two reportable segments, namely Direct Store Delivery (“DSD”), whose principal products comprise energy drinks, and Warehouse (“Warehouse”), whose principal products comprise juice-based and soda beverages. The DSD segment develops, markets and sells products primarily through an exclusive distributor network, whereas the Warehouse segment develops, markets and sells products primarily direct to retailers.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During the six-months ended June 30, 2012, we continued to expand our existing product lines and flavors and further developed our markets. In particular, we continued to focus on developing and marketing beverages that fall within the category generally described as the “alternative” beverage category. During the six-months ended June 30, 2012, we introduced the following products:</w:t>
      </w:r>
    </w:p>
    <w:p>
      <w:pPr>
        <w:spacing w:after="0" w:line="212" w:lineRule="exact"/>
        <w:rPr>
          <w:sz w:val="20"/>
          <w:szCs w:val="20"/>
          <w:color w:val="auto"/>
        </w:rPr>
      </w:pPr>
    </w:p>
    <w:p>
      <w:pPr>
        <w:ind w:left="840" w:hanging="440"/>
        <w:spacing w:after="0"/>
        <w:tabs>
          <w:tab w:leader="none" w:pos="840" w:val="left"/>
        </w:tabs>
        <w:numPr>
          <w:ilvl w:val="0"/>
          <w:numId w:val="22"/>
        </w:numPr>
        <w:rPr>
          <w:rFonts w:ascii="Arial" w:cs="Arial" w:eastAsia="Arial" w:hAnsi="Arial"/>
          <w:sz w:val="22"/>
          <w:szCs w:val="22"/>
          <w:color w:val="auto"/>
        </w:rPr>
      </w:pPr>
      <w:r>
        <w:rPr>
          <w:rFonts w:ascii="Arial" w:cs="Arial" w:eastAsia="Arial" w:hAnsi="Arial"/>
          <w:sz w:val="22"/>
          <w:szCs w:val="22"/>
          <w:color w:val="auto"/>
        </w:rPr>
        <w:t>Monster Rehab® Tea + Orangeade + Energy, a non-carbonated rehydration energy drink (February 2012).</w:t>
      </w:r>
    </w:p>
    <w:p>
      <w:pPr>
        <w:spacing w:after="0" w:line="8" w:lineRule="exact"/>
        <w:rPr>
          <w:rFonts w:ascii="Arial" w:cs="Arial" w:eastAsia="Arial" w:hAnsi="Arial"/>
          <w:sz w:val="22"/>
          <w:szCs w:val="22"/>
          <w:color w:val="auto"/>
        </w:rPr>
      </w:pPr>
    </w:p>
    <w:p>
      <w:pPr>
        <w:ind w:left="840" w:hanging="440"/>
        <w:spacing w:after="0" w:line="230" w:lineRule="auto"/>
        <w:tabs>
          <w:tab w:leader="none" w:pos="840" w:val="left"/>
        </w:tabs>
        <w:numPr>
          <w:ilvl w:val="0"/>
          <w:numId w:val="22"/>
        </w:numPr>
        <w:rPr>
          <w:rFonts w:ascii="Arial" w:cs="Arial" w:eastAsia="Arial" w:hAnsi="Arial"/>
          <w:sz w:val="22"/>
          <w:szCs w:val="22"/>
          <w:color w:val="auto"/>
        </w:rPr>
      </w:pPr>
      <w:r>
        <w:rPr>
          <w:rFonts w:ascii="Arial" w:cs="Arial" w:eastAsia="Arial" w:hAnsi="Arial"/>
          <w:sz w:val="22"/>
          <w:szCs w:val="22"/>
          <w:color w:val="auto"/>
        </w:rPr>
        <w:t>Übermonster™ Energy Brew, a non-alcoholic energy drink manufactured using a brewed fermentation process (February 2012).</w:t>
      </w:r>
    </w:p>
    <w:p>
      <w:pPr>
        <w:spacing w:after="0" w:line="1" w:lineRule="exact"/>
        <w:rPr>
          <w:rFonts w:ascii="Arial" w:cs="Arial" w:eastAsia="Arial" w:hAnsi="Arial"/>
          <w:sz w:val="22"/>
          <w:szCs w:val="22"/>
          <w:color w:val="auto"/>
        </w:rPr>
      </w:pPr>
    </w:p>
    <w:p>
      <w:pPr>
        <w:ind w:left="840" w:hanging="440"/>
        <w:spacing w:after="0"/>
        <w:tabs>
          <w:tab w:leader="none" w:pos="840" w:val="left"/>
        </w:tabs>
        <w:numPr>
          <w:ilvl w:val="0"/>
          <w:numId w:val="22"/>
        </w:numPr>
        <w:rPr>
          <w:rFonts w:ascii="Arial" w:cs="Arial" w:eastAsia="Arial" w:hAnsi="Arial"/>
          <w:sz w:val="19"/>
          <w:szCs w:val="19"/>
          <w:color w:val="auto"/>
        </w:rPr>
      </w:pPr>
      <w:r>
        <w:rPr>
          <w:rFonts w:ascii="Arial" w:cs="Arial" w:eastAsia="Arial" w:hAnsi="Arial"/>
          <w:sz w:val="19"/>
          <w:szCs w:val="19"/>
          <w:color w:val="auto"/>
        </w:rPr>
        <w:t>Hansen’s® Coconut Water, in original and tropical flavors, packaged in re-sealable Tetra Prisma boxes (March 2012).</w:t>
      </w:r>
    </w:p>
    <w:p>
      <w:pPr>
        <w:spacing w:after="0" w:line="25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Our gross sales (as defined below) of $678.9 million for the three-months ended June 30, 2012 represented record sales for our second fiscal quarter. The vast majority of our gross sales are derived from our Monster Energy® brand energy drinks. Gross sales of our Monster Energy® brand energy drinks were $631.9 million for the three-months ended June 30, 2012, an increase of $147.5 million, or 97.4% of our overall increase in gross sales for the three-months ended June 30, 2012. Any decrease in gross sales of our Monster Energy® brand energy drinks could have a significant adverse effect on our future revenues and net income. Competitive pressure in the energy drink category could also adversely affect our operating results.</w:t>
      </w:r>
    </w:p>
    <w:p>
      <w:pPr>
        <w:spacing w:after="0" w:line="17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Changes in foreign currency exchange rates had an unfavorable impact on gross sales of approximately 1% for the three-months ended June 30, 2012, which was primarily due to a stronger U.S. dollar compared to certain local currencies in which we conduct certain of our international business. We estimate that our gross sales for the three-months ended June 30, 2012 were positively impacted by approximately 1% due to initial inventory purchases by our distributor in Japan for the launch of the Monster Energy® brand in Japan during the second quarter of 2012.</w:t>
      </w:r>
    </w:p>
    <w:p>
      <w:pPr>
        <w:spacing w:after="0" w:line="21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Our DSD segment represented 95.8% and 94.5% of our consolidated net sales for the three-months ended June 30, 2012 and 2011, respectively. Our Warehouse segment represented 4.2% and 5.5% of our consolidated net sales for the three-months ended June 30, 2012 and 2011, respectively. Our DSD segment represented 95.4% and 94.2% of our consolidated net sales for the six-months ended June 30, 2012 and 2011, respectively. Our Warehouse segment represented 4.6% and 5.8% of our consolidated net sales for the six-months ended June 30, 2012 and 2011, respectively.</w:t>
      </w:r>
    </w:p>
    <w:p>
      <w:pPr>
        <w:spacing w:after="0" w:line="20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Our sales and marketing strategy for all our beverages is to focus our efforts on developing brand awareness through image enhancing programs and product sampling. We use our branded vehicles and other promotional vehicles at events where we offer samples of our products to consumers. We utilize “push-pull” methods to enhance shelf and display space exposure in sales outlets</w:t>
      </w:r>
    </w:p>
    <w:p>
      <w:pPr>
        <w:sectPr>
          <w:pgSz w:w="11900" w:h="16838" w:orient="portrait"/>
          <w:cols w:equalWidth="0" w:num="1">
            <w:col w:w="11420"/>
          </w:cols>
          <w:pgMar w:left="240" w:top="115" w:right="239" w:bottom="0" w:gutter="0" w:footer="0" w:header="0"/>
        </w:sectPr>
      </w:pPr>
    </w:p>
    <w:bookmarkStart w:id="20" w:name="page21"/>
    <w:bookmarkEnd w:id="20"/>
    <w:p>
      <w:pPr>
        <w:spacing w:after="0" w:line="6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(including advertising, in-store promotions and in-store placement of point-of-sale materials, racks, coolers and barrel coolers) to enhance demand from consumers for our products. We also support our brands with prize promotions, price promotions, competitions, endorsements from selected public and extreme sports figures, personality endorsements (including from television and other well known sports personalities), coupons, sampling and sponsorship of selected causes, events, athletes and teams. In-store posters, outdoor posters, print, radio and television advertising and coupons may also be used to promote our brands.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We believe that one of the keys to success in the beverage industry is differentiation, making our brands and products visually distinctive from other beverages on the shelves of retailers. We review our products and packaging on an ongoing basis and, where practical, endeavor to make them different, better and unique. The labels and graphics for many of our products are redesigned from time to time to maximize their visibility and identification, wherever they may be placed in stores, which we will continue to reevaluate from time to time.</w:t>
      </w:r>
    </w:p>
    <w:p>
      <w:pPr>
        <w:spacing w:after="0" w:line="215"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All of our beverage products are manufactured by various third party bottlers and co-packers situated throughout the United States and abroad, under separate arrangements with each party.</w:t>
      </w:r>
    </w:p>
    <w:p>
      <w:pPr>
        <w:spacing w:after="0" w:line="200"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Our growth strategy includes expanding our international business. Gross sales to customers outside the United States amounted to $153.4 million and $102.6 million for the three-months ended June 30, 2012 and 2011, respectively. Such sales were approximately 23% and 19% of gross sales for the three-months ended June 30, 2012 and 2011, respectively. Gross sales to customers outside the United States amounted to $254.0 million and $175.4 million for the six-months ended June 30, 2012 and 2011, respectively. Such sales were approximately 21% and 19% of gross sales for the six-months ended June 30, 2012 and 2011, respectively.</w:t>
      </w:r>
    </w:p>
    <w:p>
      <w:pPr>
        <w:spacing w:after="0" w:line="21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Our customers are primarily full service beverage distributors, retail grocery and specialty chains, wholesalers, club stores, drug chains, mass merchandisers, convenience chains, health food distributors, food service customers and the military. Gross sales to our various customer types for the three- and six-months ended June 30, 2012 and 2011 are reflected below. Such information includes sales made by us directly to the customer types concerned, which include our full service beverage distributors in the United States. Such full service beverage distributors in turn sell certain of our products to the same customer types listed below. We do not have complete details of such full service distributors’ sales of our products to their respective customers and therefore limit our description of our customer types to include only our sales to such full service distributors without reference to such distributors’ sales to their own customers.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2620" w:type="dxa"/>
            <w:vAlign w:val="bottom"/>
            <w:gridSpan w:val="3"/>
          </w:tcPr>
          <w:p>
            <w:pPr>
              <w:jc w:val="center"/>
              <w:ind w:right="300"/>
              <w:spacing w:after="0"/>
              <w:rPr>
                <w:sz w:val="20"/>
                <w:szCs w:val="20"/>
                <w:color w:val="auto"/>
              </w:rPr>
            </w:pPr>
            <w:r>
              <w:rPr>
                <w:rFonts w:ascii="Arial" w:cs="Arial" w:eastAsia="Arial" w:hAnsi="Arial"/>
                <w:sz w:val="18"/>
                <w:szCs w:val="18"/>
                <w:color w:val="auto"/>
                <w:w w:val="89"/>
              </w:rPr>
              <w:t>Three-Months Ended</w:t>
            </w:r>
          </w:p>
        </w:tc>
        <w:tc>
          <w:tcPr>
            <w:tcW w:w="2380" w:type="dxa"/>
            <w:vAlign w:val="bottom"/>
            <w:gridSpan w:val="2"/>
          </w:tcPr>
          <w:p>
            <w:pPr>
              <w:jc w:val="center"/>
              <w:spacing w:after="0"/>
              <w:rPr>
                <w:sz w:val="20"/>
                <w:szCs w:val="20"/>
                <w:color w:val="auto"/>
              </w:rPr>
            </w:pPr>
            <w:r>
              <w:rPr>
                <w:rFonts w:ascii="Arial" w:cs="Arial" w:eastAsia="Arial" w:hAnsi="Arial"/>
                <w:sz w:val="18"/>
                <w:szCs w:val="18"/>
                <w:color w:val="auto"/>
                <w:w w:val="92"/>
              </w:rPr>
              <w:t>Six-Months Ended</w:t>
            </w:r>
          </w:p>
        </w:tc>
      </w:tr>
      <w:tr>
        <w:trPr>
          <w:trHeight w:val="230"/>
        </w:trPr>
        <w:tc>
          <w:tcPr>
            <w:tcW w:w="6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40" w:type="dxa"/>
            <w:vAlign w:val="bottom"/>
            <w:gridSpan w:val="2"/>
          </w:tcPr>
          <w:p>
            <w:pPr>
              <w:jc w:val="center"/>
              <w:ind w:right="1080"/>
              <w:spacing w:after="0"/>
              <w:rPr>
                <w:sz w:val="20"/>
                <w:szCs w:val="20"/>
                <w:color w:val="auto"/>
              </w:rPr>
            </w:pPr>
            <w:r>
              <w:rPr>
                <w:rFonts w:ascii="Arial" w:cs="Arial" w:eastAsia="Arial" w:hAnsi="Arial"/>
                <w:sz w:val="18"/>
                <w:szCs w:val="18"/>
                <w:color w:val="auto"/>
                <w:w w:val="86"/>
              </w:rPr>
              <w:t>June 30,</w:t>
            </w:r>
          </w:p>
        </w:tc>
        <w:tc>
          <w:tcPr>
            <w:tcW w:w="800" w:type="dxa"/>
            <w:vAlign w:val="bottom"/>
          </w:tcPr>
          <w:p>
            <w:pPr>
              <w:spacing w:after="0"/>
              <w:rPr>
                <w:sz w:val="20"/>
                <w:szCs w:val="20"/>
                <w:color w:val="auto"/>
              </w:rPr>
            </w:pPr>
          </w:p>
        </w:tc>
        <w:tc>
          <w:tcPr>
            <w:tcW w:w="1580" w:type="dxa"/>
            <w:vAlign w:val="bottom"/>
          </w:tcPr>
          <w:p>
            <w:pPr>
              <w:jc w:val="center"/>
              <w:ind w:right="717"/>
              <w:spacing w:after="0"/>
              <w:rPr>
                <w:sz w:val="20"/>
                <w:szCs w:val="20"/>
                <w:color w:val="auto"/>
              </w:rPr>
            </w:pPr>
            <w:r>
              <w:rPr>
                <w:rFonts w:ascii="Arial" w:cs="Arial" w:eastAsia="Arial" w:hAnsi="Arial"/>
                <w:sz w:val="18"/>
                <w:szCs w:val="18"/>
                <w:color w:val="auto"/>
                <w:w w:val="86"/>
              </w:rPr>
              <w:t>June 30,</w:t>
            </w:r>
          </w:p>
        </w:tc>
      </w:tr>
      <w:tr>
        <w:trPr>
          <w:trHeight w:val="210"/>
        </w:trPr>
        <w:tc>
          <w:tcPr>
            <w:tcW w:w="620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center"/>
              <w:ind w:left="117"/>
              <w:spacing w:after="0"/>
              <w:rPr>
                <w:sz w:val="20"/>
                <w:szCs w:val="20"/>
                <w:color w:val="auto"/>
              </w:rPr>
            </w:pPr>
            <w:r>
              <w:rPr>
                <w:rFonts w:ascii="Arial" w:cs="Arial" w:eastAsia="Arial" w:hAnsi="Arial"/>
                <w:sz w:val="18"/>
                <w:szCs w:val="18"/>
                <w:color w:val="auto"/>
                <w:w w:val="89"/>
              </w:rPr>
              <w:t>2012</w:t>
            </w:r>
          </w:p>
        </w:tc>
        <w:tc>
          <w:tcPr>
            <w:tcW w:w="1540" w:type="dxa"/>
            <w:vAlign w:val="bottom"/>
            <w:tcBorders>
              <w:top w:val="single" w:sz="8" w:color="auto"/>
              <w:bottom w:val="single" w:sz="8" w:color="auto"/>
            </w:tcBorders>
          </w:tcPr>
          <w:p>
            <w:pPr>
              <w:jc w:val="center"/>
              <w:ind w:left="437"/>
              <w:spacing w:after="0"/>
              <w:rPr>
                <w:sz w:val="20"/>
                <w:szCs w:val="20"/>
                <w:color w:val="auto"/>
              </w:rPr>
            </w:pPr>
            <w:r>
              <w:rPr>
                <w:rFonts w:ascii="Arial" w:cs="Arial" w:eastAsia="Arial" w:hAnsi="Arial"/>
                <w:sz w:val="18"/>
                <w:szCs w:val="18"/>
                <w:color w:val="auto"/>
                <w:w w:val="89"/>
              </w:rPr>
              <w:t>2011</w:t>
            </w:r>
          </w:p>
        </w:tc>
        <w:tc>
          <w:tcPr>
            <w:tcW w:w="30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center"/>
              <w:ind w:left="137"/>
              <w:spacing w:after="0"/>
              <w:rPr>
                <w:sz w:val="20"/>
                <w:szCs w:val="20"/>
                <w:color w:val="auto"/>
              </w:rPr>
            </w:pPr>
            <w:r>
              <w:rPr>
                <w:rFonts w:ascii="Arial" w:cs="Arial" w:eastAsia="Arial" w:hAnsi="Arial"/>
                <w:sz w:val="18"/>
                <w:szCs w:val="18"/>
                <w:color w:val="auto"/>
                <w:w w:val="89"/>
              </w:rPr>
              <w:t>2012</w:t>
            </w:r>
          </w:p>
        </w:tc>
        <w:tc>
          <w:tcPr>
            <w:tcW w:w="1580" w:type="dxa"/>
            <w:vAlign w:val="bottom"/>
            <w:tcBorders>
              <w:top w:val="single" w:sz="8" w:color="auto"/>
              <w:bottom w:val="single" w:sz="8" w:color="auto"/>
            </w:tcBorders>
          </w:tcPr>
          <w:p>
            <w:pPr>
              <w:jc w:val="center"/>
              <w:ind w:left="397"/>
              <w:spacing w:after="0"/>
              <w:rPr>
                <w:sz w:val="20"/>
                <w:szCs w:val="20"/>
                <w:color w:val="auto"/>
              </w:rPr>
            </w:pPr>
            <w:r>
              <w:rPr>
                <w:rFonts w:ascii="Arial" w:cs="Arial" w:eastAsia="Arial" w:hAnsi="Arial"/>
                <w:sz w:val="18"/>
                <w:szCs w:val="18"/>
                <w:color w:val="auto"/>
                <w:w w:val="89"/>
              </w:rPr>
              <w:t>2011</w:t>
            </w:r>
          </w:p>
        </w:tc>
      </w:tr>
      <w:tr>
        <w:trPr>
          <w:trHeight w:val="237"/>
        </w:trPr>
        <w:tc>
          <w:tcPr>
            <w:tcW w:w="6200" w:type="dxa"/>
            <w:vAlign w:val="bottom"/>
            <w:shd w:val="clear" w:color="auto" w:fill="CCEEFF"/>
          </w:tcPr>
          <w:p>
            <w:pPr>
              <w:spacing w:after="0" w:line="237" w:lineRule="exact"/>
              <w:rPr>
                <w:sz w:val="20"/>
                <w:szCs w:val="20"/>
                <w:color w:val="auto"/>
              </w:rPr>
            </w:pPr>
            <w:r>
              <w:rPr>
                <w:rFonts w:ascii="Arial" w:cs="Arial" w:eastAsia="Arial" w:hAnsi="Arial"/>
                <w:sz w:val="22"/>
                <w:szCs w:val="22"/>
                <w:color w:val="auto"/>
              </w:rPr>
              <w:t>Full service distributors</w:t>
            </w:r>
          </w:p>
        </w:tc>
        <w:tc>
          <w:tcPr>
            <w:tcW w:w="780" w:type="dxa"/>
            <w:vAlign w:val="bottom"/>
            <w:shd w:val="clear" w:color="auto" w:fill="CCEEFF"/>
          </w:tcPr>
          <w:p>
            <w:pPr>
              <w:jc w:val="center"/>
              <w:ind w:left="117"/>
              <w:spacing w:after="0" w:line="237" w:lineRule="exact"/>
              <w:rPr>
                <w:sz w:val="20"/>
                <w:szCs w:val="20"/>
                <w:color w:val="auto"/>
              </w:rPr>
            </w:pPr>
            <w:r>
              <w:rPr>
                <w:rFonts w:ascii="Arial" w:cs="Arial" w:eastAsia="Arial" w:hAnsi="Arial"/>
                <w:sz w:val="22"/>
                <w:szCs w:val="22"/>
                <w:color w:val="auto"/>
                <w:w w:val="90"/>
              </w:rPr>
              <w:t>62%</w:t>
            </w:r>
          </w:p>
        </w:tc>
        <w:tc>
          <w:tcPr>
            <w:tcW w:w="1540" w:type="dxa"/>
            <w:vAlign w:val="bottom"/>
            <w:shd w:val="clear" w:color="auto" w:fill="CCEEFF"/>
          </w:tcPr>
          <w:p>
            <w:pPr>
              <w:jc w:val="center"/>
              <w:ind w:left="437"/>
              <w:spacing w:after="0" w:line="237" w:lineRule="exact"/>
              <w:rPr>
                <w:sz w:val="20"/>
                <w:szCs w:val="20"/>
                <w:color w:val="auto"/>
              </w:rPr>
            </w:pPr>
            <w:r>
              <w:rPr>
                <w:rFonts w:ascii="Arial" w:cs="Arial" w:eastAsia="Arial" w:hAnsi="Arial"/>
                <w:sz w:val="22"/>
                <w:szCs w:val="22"/>
                <w:color w:val="auto"/>
                <w:w w:val="90"/>
              </w:rPr>
              <w:t>64%</w:t>
            </w: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jc w:val="center"/>
              <w:ind w:left="137"/>
              <w:spacing w:after="0" w:line="237" w:lineRule="exact"/>
              <w:rPr>
                <w:sz w:val="20"/>
                <w:szCs w:val="20"/>
                <w:color w:val="auto"/>
              </w:rPr>
            </w:pPr>
            <w:r>
              <w:rPr>
                <w:rFonts w:ascii="Arial" w:cs="Arial" w:eastAsia="Arial" w:hAnsi="Arial"/>
                <w:sz w:val="22"/>
                <w:szCs w:val="22"/>
                <w:color w:val="auto"/>
                <w:w w:val="90"/>
              </w:rPr>
              <w:t>63%</w:t>
            </w:r>
          </w:p>
        </w:tc>
        <w:tc>
          <w:tcPr>
            <w:tcW w:w="1580" w:type="dxa"/>
            <w:vAlign w:val="bottom"/>
            <w:shd w:val="clear" w:color="auto" w:fill="CCEEFF"/>
          </w:tcPr>
          <w:p>
            <w:pPr>
              <w:jc w:val="center"/>
              <w:ind w:left="397"/>
              <w:spacing w:after="0" w:line="237" w:lineRule="exact"/>
              <w:rPr>
                <w:sz w:val="20"/>
                <w:szCs w:val="20"/>
                <w:color w:val="auto"/>
              </w:rPr>
            </w:pPr>
            <w:r>
              <w:rPr>
                <w:rFonts w:ascii="Arial" w:cs="Arial" w:eastAsia="Arial" w:hAnsi="Arial"/>
                <w:sz w:val="22"/>
                <w:szCs w:val="22"/>
                <w:color w:val="auto"/>
                <w:w w:val="90"/>
              </w:rPr>
              <w:t>65%</w:t>
            </w:r>
          </w:p>
        </w:tc>
      </w:tr>
      <w:tr>
        <w:trPr>
          <w:trHeight w:val="243"/>
        </w:trPr>
        <w:tc>
          <w:tcPr>
            <w:tcW w:w="6200" w:type="dxa"/>
            <w:vAlign w:val="bottom"/>
          </w:tcPr>
          <w:p>
            <w:pPr>
              <w:spacing w:after="0" w:line="243" w:lineRule="exact"/>
              <w:rPr>
                <w:sz w:val="20"/>
                <w:szCs w:val="20"/>
                <w:color w:val="auto"/>
              </w:rPr>
            </w:pPr>
            <w:r>
              <w:rPr>
                <w:rFonts w:ascii="Arial" w:cs="Arial" w:eastAsia="Arial" w:hAnsi="Arial"/>
                <w:sz w:val="22"/>
                <w:szCs w:val="22"/>
                <w:color w:val="auto"/>
              </w:rPr>
              <w:t>Club stores, drug chains &amp; mass merchandisers</w:t>
            </w:r>
          </w:p>
        </w:tc>
        <w:tc>
          <w:tcPr>
            <w:tcW w:w="780" w:type="dxa"/>
            <w:vAlign w:val="bottom"/>
          </w:tcPr>
          <w:p>
            <w:pPr>
              <w:jc w:val="center"/>
              <w:ind w:left="137"/>
              <w:spacing w:after="0" w:line="243" w:lineRule="exact"/>
              <w:rPr>
                <w:sz w:val="20"/>
                <w:szCs w:val="20"/>
                <w:color w:val="auto"/>
              </w:rPr>
            </w:pPr>
            <w:r>
              <w:rPr>
                <w:rFonts w:ascii="Arial" w:cs="Arial" w:eastAsia="Arial" w:hAnsi="Arial"/>
                <w:sz w:val="22"/>
                <w:szCs w:val="22"/>
                <w:color w:val="auto"/>
                <w:w w:val="94"/>
              </w:rPr>
              <w:t>9%</w:t>
            </w:r>
          </w:p>
        </w:tc>
        <w:tc>
          <w:tcPr>
            <w:tcW w:w="1540" w:type="dxa"/>
            <w:vAlign w:val="bottom"/>
          </w:tcPr>
          <w:p>
            <w:pPr>
              <w:jc w:val="center"/>
              <w:ind w:left="437"/>
              <w:spacing w:after="0" w:line="243" w:lineRule="exact"/>
              <w:rPr>
                <w:sz w:val="20"/>
                <w:szCs w:val="20"/>
                <w:color w:val="auto"/>
              </w:rPr>
            </w:pPr>
            <w:r>
              <w:rPr>
                <w:rFonts w:ascii="Arial" w:cs="Arial" w:eastAsia="Arial" w:hAnsi="Arial"/>
                <w:sz w:val="22"/>
                <w:szCs w:val="22"/>
                <w:color w:val="auto"/>
                <w:w w:val="90"/>
              </w:rPr>
              <w:t>10%</w:t>
            </w:r>
          </w:p>
        </w:tc>
        <w:tc>
          <w:tcPr>
            <w:tcW w:w="300" w:type="dxa"/>
            <w:vAlign w:val="bottom"/>
          </w:tcPr>
          <w:p>
            <w:pPr>
              <w:spacing w:after="0"/>
              <w:rPr>
                <w:sz w:val="21"/>
                <w:szCs w:val="21"/>
                <w:color w:val="auto"/>
              </w:rPr>
            </w:pPr>
          </w:p>
        </w:tc>
        <w:tc>
          <w:tcPr>
            <w:tcW w:w="800" w:type="dxa"/>
            <w:vAlign w:val="bottom"/>
          </w:tcPr>
          <w:p>
            <w:pPr>
              <w:jc w:val="center"/>
              <w:ind w:left="117"/>
              <w:spacing w:after="0" w:line="243" w:lineRule="exact"/>
              <w:rPr>
                <w:sz w:val="20"/>
                <w:szCs w:val="20"/>
                <w:color w:val="auto"/>
              </w:rPr>
            </w:pPr>
            <w:r>
              <w:rPr>
                <w:rFonts w:ascii="Arial" w:cs="Arial" w:eastAsia="Arial" w:hAnsi="Arial"/>
                <w:sz w:val="22"/>
                <w:szCs w:val="22"/>
                <w:color w:val="auto"/>
                <w:w w:val="94"/>
              </w:rPr>
              <w:t>9%</w:t>
            </w:r>
          </w:p>
        </w:tc>
        <w:tc>
          <w:tcPr>
            <w:tcW w:w="1580" w:type="dxa"/>
            <w:vAlign w:val="bottom"/>
          </w:tcPr>
          <w:p>
            <w:pPr>
              <w:jc w:val="center"/>
              <w:ind w:left="397"/>
              <w:spacing w:after="0" w:line="243" w:lineRule="exact"/>
              <w:rPr>
                <w:sz w:val="20"/>
                <w:szCs w:val="20"/>
                <w:color w:val="auto"/>
              </w:rPr>
            </w:pPr>
            <w:r>
              <w:rPr>
                <w:rFonts w:ascii="Arial" w:cs="Arial" w:eastAsia="Arial" w:hAnsi="Arial"/>
                <w:sz w:val="22"/>
                <w:szCs w:val="22"/>
                <w:color w:val="auto"/>
                <w:w w:val="90"/>
              </w:rPr>
              <w:t>10%</w:t>
            </w:r>
          </w:p>
        </w:tc>
      </w:tr>
      <w:tr>
        <w:trPr>
          <w:trHeight w:val="243"/>
        </w:trPr>
        <w:tc>
          <w:tcPr>
            <w:tcW w:w="62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Outside the U.S.</w:t>
            </w:r>
          </w:p>
        </w:tc>
        <w:tc>
          <w:tcPr>
            <w:tcW w:w="780" w:type="dxa"/>
            <w:vAlign w:val="bottom"/>
            <w:shd w:val="clear" w:color="auto" w:fill="CCEEFF"/>
          </w:tcPr>
          <w:p>
            <w:pPr>
              <w:jc w:val="center"/>
              <w:ind w:left="117"/>
              <w:spacing w:after="0" w:line="243" w:lineRule="exact"/>
              <w:rPr>
                <w:sz w:val="20"/>
                <w:szCs w:val="20"/>
                <w:color w:val="auto"/>
              </w:rPr>
            </w:pPr>
            <w:r>
              <w:rPr>
                <w:rFonts w:ascii="Arial" w:cs="Arial" w:eastAsia="Arial" w:hAnsi="Arial"/>
                <w:sz w:val="22"/>
                <w:szCs w:val="22"/>
                <w:color w:val="auto"/>
                <w:w w:val="90"/>
              </w:rPr>
              <w:t>23%</w:t>
            </w:r>
          </w:p>
        </w:tc>
        <w:tc>
          <w:tcPr>
            <w:tcW w:w="1540" w:type="dxa"/>
            <w:vAlign w:val="bottom"/>
            <w:shd w:val="clear" w:color="auto" w:fill="CCEEFF"/>
          </w:tcPr>
          <w:p>
            <w:pPr>
              <w:jc w:val="center"/>
              <w:ind w:left="437"/>
              <w:spacing w:after="0" w:line="243" w:lineRule="exact"/>
              <w:rPr>
                <w:sz w:val="20"/>
                <w:szCs w:val="20"/>
                <w:color w:val="auto"/>
              </w:rPr>
            </w:pPr>
            <w:r>
              <w:rPr>
                <w:rFonts w:ascii="Arial" w:cs="Arial" w:eastAsia="Arial" w:hAnsi="Arial"/>
                <w:sz w:val="22"/>
                <w:szCs w:val="22"/>
                <w:color w:val="auto"/>
                <w:w w:val="90"/>
              </w:rPr>
              <w:t>19%</w:t>
            </w:r>
          </w:p>
        </w:tc>
        <w:tc>
          <w:tcPr>
            <w:tcW w:w="300" w:type="dxa"/>
            <w:vAlign w:val="bottom"/>
            <w:shd w:val="clear" w:color="auto" w:fill="CCEEFF"/>
          </w:tcPr>
          <w:p>
            <w:pPr>
              <w:spacing w:after="0"/>
              <w:rPr>
                <w:sz w:val="21"/>
                <w:szCs w:val="21"/>
                <w:color w:val="auto"/>
              </w:rPr>
            </w:pPr>
          </w:p>
        </w:tc>
        <w:tc>
          <w:tcPr>
            <w:tcW w:w="800" w:type="dxa"/>
            <w:vAlign w:val="bottom"/>
            <w:shd w:val="clear" w:color="auto" w:fill="CCEEFF"/>
          </w:tcPr>
          <w:p>
            <w:pPr>
              <w:jc w:val="center"/>
              <w:ind w:left="137"/>
              <w:spacing w:after="0" w:line="243" w:lineRule="exact"/>
              <w:rPr>
                <w:sz w:val="20"/>
                <w:szCs w:val="20"/>
                <w:color w:val="auto"/>
              </w:rPr>
            </w:pPr>
            <w:r>
              <w:rPr>
                <w:rFonts w:ascii="Arial" w:cs="Arial" w:eastAsia="Arial" w:hAnsi="Arial"/>
                <w:sz w:val="22"/>
                <w:szCs w:val="22"/>
                <w:color w:val="auto"/>
                <w:w w:val="90"/>
              </w:rPr>
              <w:t>21%</w:t>
            </w:r>
          </w:p>
        </w:tc>
        <w:tc>
          <w:tcPr>
            <w:tcW w:w="1580" w:type="dxa"/>
            <w:vAlign w:val="bottom"/>
            <w:shd w:val="clear" w:color="auto" w:fill="CCEEFF"/>
          </w:tcPr>
          <w:p>
            <w:pPr>
              <w:jc w:val="center"/>
              <w:ind w:left="397"/>
              <w:spacing w:after="0" w:line="243" w:lineRule="exact"/>
              <w:rPr>
                <w:sz w:val="20"/>
                <w:szCs w:val="20"/>
                <w:color w:val="auto"/>
              </w:rPr>
            </w:pPr>
            <w:r>
              <w:rPr>
                <w:rFonts w:ascii="Arial" w:cs="Arial" w:eastAsia="Arial" w:hAnsi="Arial"/>
                <w:sz w:val="22"/>
                <w:szCs w:val="22"/>
                <w:color w:val="auto"/>
                <w:w w:val="90"/>
              </w:rPr>
              <w:t>19%</w:t>
            </w:r>
          </w:p>
        </w:tc>
      </w:tr>
      <w:tr>
        <w:trPr>
          <w:trHeight w:val="243"/>
        </w:trPr>
        <w:tc>
          <w:tcPr>
            <w:tcW w:w="6200" w:type="dxa"/>
            <w:vAlign w:val="bottom"/>
          </w:tcPr>
          <w:p>
            <w:pPr>
              <w:spacing w:after="0" w:line="243" w:lineRule="exact"/>
              <w:rPr>
                <w:sz w:val="20"/>
                <w:szCs w:val="20"/>
                <w:color w:val="auto"/>
              </w:rPr>
            </w:pPr>
            <w:r>
              <w:rPr>
                <w:rFonts w:ascii="Arial" w:cs="Arial" w:eastAsia="Arial" w:hAnsi="Arial"/>
                <w:sz w:val="22"/>
                <w:szCs w:val="22"/>
                <w:color w:val="auto"/>
              </w:rPr>
              <w:t>Retail grocery, specialty chains and wholesalers</w:t>
            </w:r>
          </w:p>
        </w:tc>
        <w:tc>
          <w:tcPr>
            <w:tcW w:w="780" w:type="dxa"/>
            <w:vAlign w:val="bottom"/>
          </w:tcPr>
          <w:p>
            <w:pPr>
              <w:jc w:val="center"/>
              <w:ind w:left="137"/>
              <w:spacing w:after="0" w:line="243" w:lineRule="exact"/>
              <w:rPr>
                <w:sz w:val="20"/>
                <w:szCs w:val="20"/>
                <w:color w:val="auto"/>
              </w:rPr>
            </w:pPr>
            <w:r>
              <w:rPr>
                <w:rFonts w:ascii="Arial" w:cs="Arial" w:eastAsia="Arial" w:hAnsi="Arial"/>
                <w:sz w:val="22"/>
                <w:szCs w:val="22"/>
                <w:color w:val="auto"/>
                <w:w w:val="94"/>
              </w:rPr>
              <w:t>4%</w:t>
            </w:r>
          </w:p>
        </w:tc>
        <w:tc>
          <w:tcPr>
            <w:tcW w:w="1540" w:type="dxa"/>
            <w:vAlign w:val="bottom"/>
          </w:tcPr>
          <w:p>
            <w:pPr>
              <w:jc w:val="center"/>
              <w:ind w:left="437"/>
              <w:spacing w:after="0" w:line="243" w:lineRule="exact"/>
              <w:rPr>
                <w:sz w:val="20"/>
                <w:szCs w:val="20"/>
                <w:color w:val="auto"/>
              </w:rPr>
            </w:pPr>
            <w:r>
              <w:rPr>
                <w:rFonts w:ascii="Arial" w:cs="Arial" w:eastAsia="Arial" w:hAnsi="Arial"/>
                <w:sz w:val="22"/>
                <w:szCs w:val="22"/>
                <w:color w:val="auto"/>
                <w:w w:val="87"/>
              </w:rPr>
              <w:t>4%</w:t>
            </w:r>
          </w:p>
        </w:tc>
        <w:tc>
          <w:tcPr>
            <w:tcW w:w="300" w:type="dxa"/>
            <w:vAlign w:val="bottom"/>
          </w:tcPr>
          <w:p>
            <w:pPr>
              <w:spacing w:after="0"/>
              <w:rPr>
                <w:sz w:val="21"/>
                <w:szCs w:val="21"/>
                <w:color w:val="auto"/>
              </w:rPr>
            </w:pPr>
          </w:p>
        </w:tc>
        <w:tc>
          <w:tcPr>
            <w:tcW w:w="800" w:type="dxa"/>
            <w:vAlign w:val="bottom"/>
          </w:tcPr>
          <w:p>
            <w:pPr>
              <w:jc w:val="center"/>
              <w:ind w:left="117"/>
              <w:spacing w:after="0" w:line="243" w:lineRule="exact"/>
              <w:rPr>
                <w:sz w:val="20"/>
                <w:szCs w:val="20"/>
                <w:color w:val="auto"/>
              </w:rPr>
            </w:pPr>
            <w:r>
              <w:rPr>
                <w:rFonts w:ascii="Arial" w:cs="Arial" w:eastAsia="Arial" w:hAnsi="Arial"/>
                <w:sz w:val="22"/>
                <w:szCs w:val="22"/>
                <w:color w:val="auto"/>
                <w:w w:val="94"/>
              </w:rPr>
              <w:t>4%</w:t>
            </w:r>
          </w:p>
        </w:tc>
        <w:tc>
          <w:tcPr>
            <w:tcW w:w="1580" w:type="dxa"/>
            <w:vAlign w:val="bottom"/>
          </w:tcPr>
          <w:p>
            <w:pPr>
              <w:jc w:val="center"/>
              <w:ind w:left="397"/>
              <w:spacing w:after="0" w:line="243" w:lineRule="exact"/>
              <w:rPr>
                <w:sz w:val="20"/>
                <w:szCs w:val="20"/>
                <w:color w:val="auto"/>
              </w:rPr>
            </w:pPr>
            <w:r>
              <w:rPr>
                <w:rFonts w:ascii="Arial" w:cs="Arial" w:eastAsia="Arial" w:hAnsi="Arial"/>
                <w:sz w:val="22"/>
                <w:szCs w:val="22"/>
                <w:color w:val="auto"/>
                <w:w w:val="87"/>
              </w:rPr>
              <w:t>4%</w:t>
            </w:r>
          </w:p>
        </w:tc>
      </w:tr>
      <w:tr>
        <w:trPr>
          <w:trHeight w:val="243"/>
        </w:trPr>
        <w:tc>
          <w:tcPr>
            <w:tcW w:w="62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Other</w:t>
            </w:r>
          </w:p>
        </w:tc>
        <w:tc>
          <w:tcPr>
            <w:tcW w:w="780" w:type="dxa"/>
            <w:vAlign w:val="bottom"/>
            <w:shd w:val="clear" w:color="auto" w:fill="CCEEFF"/>
          </w:tcPr>
          <w:p>
            <w:pPr>
              <w:jc w:val="center"/>
              <w:ind w:left="137"/>
              <w:spacing w:after="0" w:line="243" w:lineRule="exact"/>
              <w:rPr>
                <w:sz w:val="20"/>
                <w:szCs w:val="20"/>
                <w:color w:val="auto"/>
              </w:rPr>
            </w:pPr>
            <w:r>
              <w:rPr>
                <w:rFonts w:ascii="Arial" w:cs="Arial" w:eastAsia="Arial" w:hAnsi="Arial"/>
                <w:sz w:val="22"/>
                <w:szCs w:val="22"/>
                <w:color w:val="auto"/>
                <w:w w:val="94"/>
              </w:rPr>
              <w:t>2%</w:t>
            </w:r>
          </w:p>
        </w:tc>
        <w:tc>
          <w:tcPr>
            <w:tcW w:w="1540" w:type="dxa"/>
            <w:vAlign w:val="bottom"/>
            <w:shd w:val="clear" w:color="auto" w:fill="CCEEFF"/>
          </w:tcPr>
          <w:p>
            <w:pPr>
              <w:jc w:val="center"/>
              <w:ind w:left="437"/>
              <w:spacing w:after="0" w:line="243" w:lineRule="exact"/>
              <w:rPr>
                <w:sz w:val="20"/>
                <w:szCs w:val="20"/>
                <w:color w:val="auto"/>
              </w:rPr>
            </w:pPr>
            <w:r>
              <w:rPr>
                <w:rFonts w:ascii="Arial" w:cs="Arial" w:eastAsia="Arial" w:hAnsi="Arial"/>
                <w:sz w:val="22"/>
                <w:szCs w:val="22"/>
                <w:color w:val="auto"/>
                <w:w w:val="87"/>
              </w:rPr>
              <w:t>3%</w:t>
            </w:r>
          </w:p>
        </w:tc>
        <w:tc>
          <w:tcPr>
            <w:tcW w:w="300" w:type="dxa"/>
            <w:vAlign w:val="bottom"/>
            <w:shd w:val="clear" w:color="auto" w:fill="CCEEFF"/>
          </w:tcPr>
          <w:p>
            <w:pPr>
              <w:spacing w:after="0"/>
              <w:rPr>
                <w:sz w:val="21"/>
                <w:szCs w:val="21"/>
                <w:color w:val="auto"/>
              </w:rPr>
            </w:pPr>
          </w:p>
        </w:tc>
        <w:tc>
          <w:tcPr>
            <w:tcW w:w="800" w:type="dxa"/>
            <w:vAlign w:val="bottom"/>
            <w:shd w:val="clear" w:color="auto" w:fill="CCEEFF"/>
          </w:tcPr>
          <w:p>
            <w:pPr>
              <w:jc w:val="center"/>
              <w:ind w:left="117"/>
              <w:spacing w:after="0" w:line="243" w:lineRule="exact"/>
              <w:rPr>
                <w:sz w:val="20"/>
                <w:szCs w:val="20"/>
                <w:color w:val="auto"/>
              </w:rPr>
            </w:pPr>
            <w:r>
              <w:rPr>
                <w:rFonts w:ascii="Arial" w:cs="Arial" w:eastAsia="Arial" w:hAnsi="Arial"/>
                <w:sz w:val="22"/>
                <w:szCs w:val="22"/>
                <w:color w:val="auto"/>
                <w:w w:val="94"/>
              </w:rPr>
              <w:t>3%</w:t>
            </w:r>
          </w:p>
        </w:tc>
        <w:tc>
          <w:tcPr>
            <w:tcW w:w="1580" w:type="dxa"/>
            <w:vAlign w:val="bottom"/>
            <w:shd w:val="clear" w:color="auto" w:fill="CCEEFF"/>
          </w:tcPr>
          <w:p>
            <w:pPr>
              <w:jc w:val="center"/>
              <w:ind w:left="397"/>
              <w:spacing w:after="0" w:line="243" w:lineRule="exact"/>
              <w:rPr>
                <w:sz w:val="20"/>
                <w:szCs w:val="20"/>
                <w:color w:val="auto"/>
              </w:rPr>
            </w:pPr>
            <w:r>
              <w:rPr>
                <w:rFonts w:ascii="Arial" w:cs="Arial" w:eastAsia="Arial" w:hAnsi="Arial"/>
                <w:sz w:val="22"/>
                <w:szCs w:val="22"/>
                <w:color w:val="auto"/>
                <w:w w:val="87"/>
              </w:rPr>
              <w:t>2%</w:t>
            </w:r>
          </w:p>
        </w:tc>
      </w:tr>
    </w:tbl>
    <w:p>
      <w:pPr>
        <w:spacing w:after="0" w:line="22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Our customers include Coca-Cola Refreshments (“CCR”), Coca-Cola Enterprises, Coca-Cola Refreshments Canada, Ltd. (formerly known as Coca-Cola Bottling Company), CCBCC Operations, LLC, United Bottling Contracts Company, LLC and other Coca-Cola Company independent bottlers, Wal-Mart, Inc. (including Sam’s Club), select Anheuser-Busch, Inc. distributors, certain bottlers of the Coca-Cola Hellenic group, Kalil Bottling Group, Trader Joe’s, John Lenore &amp; Company, Swire Coca-Cola, Costco, The Kroger Co. and Safeway, Inc. A decision by any large customer to decrease amounts purchased from us or to cease carrying our products could have a material negative effect on our financial condition and consolidated results of operations. CCR accounted for approximately 28% and 30% of our net sales for the three-months ended June 30, 2012 and 2011, respectively. CCR accounted for approximately 29% of our net sales for both the six-months ended June 30, 2012 and 2011.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The following table sets forth key statistics for the three- and six-months ended June 30, 2012 and 2011, respectively.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w w:val="98"/>
              </w:rPr>
              <w:t>Three-Months Ended</w:t>
            </w:r>
          </w:p>
        </w:tc>
        <w:tc>
          <w:tcPr>
            <w:tcW w:w="160" w:type="dxa"/>
            <w:vAlign w:val="bottom"/>
          </w:tcPr>
          <w:p>
            <w:pPr>
              <w:spacing w:after="0"/>
              <w:rPr>
                <w:sz w:val="18"/>
                <w:szCs w:val="18"/>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Percentage</w:t>
            </w:r>
          </w:p>
        </w:tc>
        <w:tc>
          <w:tcPr>
            <w:tcW w:w="24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Six-Months Ended</w:t>
            </w:r>
          </w:p>
        </w:tc>
        <w:tc>
          <w:tcPr>
            <w:tcW w:w="1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6"/>
              </w:rPr>
              <w:t>Percentage</w:t>
            </w:r>
          </w:p>
        </w:tc>
      </w:tr>
      <w:tr>
        <w:trPr>
          <w:trHeight w:val="234"/>
        </w:trPr>
        <w:tc>
          <w:tcPr>
            <w:tcW w:w="3660" w:type="dxa"/>
            <w:vAlign w:val="bottom"/>
          </w:tcPr>
          <w:p>
            <w:pPr>
              <w:spacing w:after="0"/>
              <w:rPr>
                <w:sz w:val="20"/>
                <w:szCs w:val="20"/>
                <w:color w:val="auto"/>
              </w:rPr>
            </w:pPr>
            <w:r>
              <w:rPr>
                <w:rFonts w:ascii="Arial" w:cs="Arial" w:eastAsia="Arial" w:hAnsi="Arial"/>
                <w:sz w:val="18"/>
                <w:szCs w:val="18"/>
                <w:color w:val="auto"/>
              </w:rPr>
              <w:t>(In thousands, except per share amounts)</w:t>
            </w: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8"/>
                <w:szCs w:val="18"/>
                <w:b w:val="1"/>
                <w:bCs w:val="1"/>
                <w:color w:val="auto"/>
                <w:w w:val="90"/>
              </w:rPr>
              <w:t>Change</w:t>
            </w:r>
          </w:p>
        </w:tc>
        <w:tc>
          <w:tcPr>
            <w:tcW w:w="1640" w:type="dxa"/>
            <w:vAlign w:val="bottom"/>
            <w:tcBorders>
              <w:bottom w:val="single" w:sz="8" w:color="auto"/>
            </w:tcBorders>
            <w:gridSpan w:val="3"/>
          </w:tcPr>
          <w:p>
            <w:pPr>
              <w:jc w:val="center"/>
              <w:ind w:left="750"/>
              <w:spacing w:after="0"/>
              <w:rPr>
                <w:sz w:val="20"/>
                <w:szCs w:val="20"/>
                <w:color w:val="auto"/>
              </w:rPr>
            </w:pPr>
            <w:r>
              <w:rPr>
                <w:rFonts w:ascii="Arial" w:cs="Arial" w:eastAsia="Arial" w:hAnsi="Arial"/>
                <w:sz w:val="18"/>
                <w:szCs w:val="18"/>
                <w:b w:val="1"/>
                <w:bCs w:val="1"/>
                <w:color w:val="auto"/>
                <w:w w:val="88"/>
              </w:rPr>
              <w:t>June 30,</w:t>
            </w:r>
          </w:p>
        </w:tc>
        <w:tc>
          <w:tcPr>
            <w:tcW w:w="8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Change</w:t>
            </w:r>
          </w:p>
        </w:tc>
      </w:tr>
      <w:tr>
        <w:trPr>
          <w:trHeight w:val="210"/>
        </w:trPr>
        <w:tc>
          <w:tcPr>
            <w:tcW w:w="3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18"/>
                <w:szCs w:val="18"/>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5"/>
              </w:rPr>
              <w:t>12 vs. 11</w:t>
            </w: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2011</w:t>
            </w:r>
          </w:p>
        </w:tc>
        <w:tc>
          <w:tcPr>
            <w:tcW w:w="1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5"/>
              </w:rPr>
              <w:t>12 vs. 11</w:t>
            </w:r>
          </w:p>
        </w:tc>
      </w:tr>
      <w:tr>
        <w:trPr>
          <w:trHeight w:val="210"/>
        </w:trPr>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sales, net of discounts &amp; returns *</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678,852</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527,519</w:t>
            </w:r>
          </w:p>
        </w:tc>
        <w:tc>
          <w:tcPr>
            <w:tcW w:w="1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1,196,165</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935,112</w:t>
            </w:r>
          </w:p>
        </w:tc>
        <w:tc>
          <w:tcPr>
            <w:tcW w:w="1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r>
      <w:tr>
        <w:trPr>
          <w:trHeight w:val="216"/>
        </w:trPr>
        <w:tc>
          <w:tcPr>
            <w:tcW w:w="3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Promotional and other allowances**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86,212</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65,374</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31.9%</w:t>
            </w:r>
          </w:p>
        </w:tc>
        <w:tc>
          <w:tcPr>
            <w:tcW w:w="16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148,920</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116,548</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27.8%</w:t>
            </w:r>
          </w:p>
        </w:tc>
      </w:tr>
      <w:tr>
        <w:trPr>
          <w:trHeight w:val="118"/>
        </w:trPr>
        <w:tc>
          <w:tcPr>
            <w:tcW w:w="36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r>
    </w:tbl>
    <w:p>
      <w:pPr>
        <w:sectPr>
          <w:pgSz w:w="11900" w:h="16900" w:orient="portrait"/>
          <w:cols w:equalWidth="0" w:num="1">
            <w:col w:w="11420"/>
          </w:cols>
          <w:pgMar w:left="240" w:top="118" w:right="239" w:bottom="0" w:gutter="0" w:footer="0" w:header="0"/>
        </w:sectPr>
      </w:pPr>
    </w:p>
    <w:bookmarkStart w:id="21" w:name="page22"/>
    <w:bookmarkEnd w:id="21"/>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592,640</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462,145</w:t>
            </w:r>
          </w:p>
        </w:tc>
        <w:tc>
          <w:tcPr>
            <w:tcW w:w="1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28.2%</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1,047,245</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818,564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285,632</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217,924</w:t>
            </w:r>
          </w:p>
        </w:tc>
        <w:tc>
          <w:tcPr>
            <w:tcW w:w="148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rPr>
              <w:t>31.1%</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499,068</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388,806</w:t>
            </w: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307,008</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244,221</w:t>
            </w:r>
          </w:p>
        </w:tc>
        <w:tc>
          <w:tcPr>
            <w:tcW w:w="1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25.7%</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548,177</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429,758</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w w:val="94"/>
              </w:rPr>
              <w:t>Gross profit margin as a percentage of net sales</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51.8%</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52.8%</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52.3%</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137,235</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111,739</w:t>
            </w: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22.8%</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252,118</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208,822</w:t>
            </w:r>
          </w:p>
        </w:tc>
        <w:tc>
          <w:tcPr>
            <w:tcW w:w="1360" w:type="dxa"/>
            <w:vAlign w:val="bottom"/>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w w:val="92"/>
              </w:rPr>
              <w:t>Operating expenses as a percentage of net sales</w:t>
            </w: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4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169,773</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132,482</w:t>
            </w:r>
          </w:p>
        </w:tc>
        <w:tc>
          <w:tcPr>
            <w:tcW w:w="1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28.1%</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296,059</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220,936</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w w:val="96"/>
              </w:rPr>
              <w:t>Operating income as a percentage of net sales</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28.6%</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28.7%</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28.3%</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Other (expense) income:</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income, net</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(104.3%)</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5"/>
              </w:rPr>
              <w:t>(Loss) gain on investments and put options, net</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148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rPr>
              <w:t>(90.6%)</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(811.8%)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Total other (expense) income</w:t>
            </w: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(121.9%)</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169,713</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132,756</w:t>
            </w:r>
          </w:p>
        </w:tc>
        <w:tc>
          <w:tcPr>
            <w:tcW w:w="1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27.8%</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296,345</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221,512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59,918</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48,508</w:t>
            </w:r>
          </w:p>
        </w:tc>
        <w:tc>
          <w:tcPr>
            <w:tcW w:w="1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23.5%</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110,450</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82,221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109,795</w:t>
            </w:r>
          </w:p>
        </w:tc>
        <w:tc>
          <w:tcPr>
            <w:tcW w:w="1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84,248</w:t>
            </w:r>
          </w:p>
        </w:tc>
        <w:tc>
          <w:tcPr>
            <w:tcW w:w="14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30.3%</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185,895</w:t>
            </w:r>
          </w:p>
        </w:tc>
        <w:tc>
          <w:tcPr>
            <w:tcW w:w="1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139,291</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0"/>
        </w:trPr>
        <w:tc>
          <w:tcPr>
            <w:tcW w:w="3660" w:type="dxa"/>
            <w:vAlign w:val="bottom"/>
            <w:gridSpan w:val="2"/>
            <w:vMerge w:val="restart"/>
          </w:tcPr>
          <w:p>
            <w:pPr>
              <w:spacing w:after="0"/>
              <w:rPr>
                <w:sz w:val="20"/>
                <w:szCs w:val="20"/>
                <w:color w:val="auto"/>
              </w:rPr>
            </w:pPr>
            <w:r>
              <w:rPr>
                <w:rFonts w:ascii="Arial" w:cs="Arial" w:eastAsia="Arial" w:hAnsi="Arial"/>
                <w:sz w:val="18"/>
                <w:szCs w:val="18"/>
                <w:color w:val="auto"/>
              </w:rPr>
              <w:t>Net income as a percentage of net sales</w:t>
            </w: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6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18.5%</w:t>
            </w:r>
          </w:p>
        </w:tc>
        <w:tc>
          <w:tcPr>
            <w:tcW w:w="1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18.2%</w:t>
            </w: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17.8%</w:t>
            </w:r>
          </w:p>
        </w:tc>
        <w:tc>
          <w:tcPr>
            <w:tcW w:w="1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17.0%</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30.9%</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0.59</w:t>
            </w:r>
          </w:p>
        </w:tc>
        <w:tc>
          <w:tcPr>
            <w:tcW w:w="160" w:type="dxa"/>
            <w:vAlign w:val="bottom"/>
          </w:tcPr>
          <w:p>
            <w:pPr>
              <w:spacing w:after="0"/>
              <w:rPr>
                <w:sz w:val="18"/>
                <w:szCs w:val="18"/>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0.45</w:t>
            </w: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31.0%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0.74</w:t>
            </w:r>
          </w:p>
        </w:tc>
        <w:tc>
          <w:tcPr>
            <w:tcW w:w="1360" w:type="dxa"/>
            <w:vAlign w:val="bottom"/>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40" w:type="dxa"/>
            <w:vAlign w:val="bottom"/>
          </w:tcPr>
          <w:p>
            <w:pPr>
              <w:spacing w:after="0" w:line="201" w:lineRule="exact"/>
              <w:rPr>
                <w:sz w:val="20"/>
                <w:szCs w:val="20"/>
                <w:color w:val="auto"/>
              </w:rPr>
            </w:pPr>
            <w:r>
              <w:rPr>
                <w:rFonts w:ascii="Arial" w:cs="Arial" w:eastAsia="Arial" w:hAnsi="Arial"/>
                <w:sz w:val="18"/>
                <w:szCs w:val="18"/>
                <w:color w:val="auto"/>
              </w:rPr>
              <w:t>Case sales (in thousands)</w:t>
            </w: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(in 192-ounce case equivalents)</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57,525</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44,272</w:t>
            </w: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29.9%</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101,921</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78,954</w:t>
            </w:r>
          </w:p>
        </w:tc>
        <w:tc>
          <w:tcPr>
            <w:tcW w:w="1360" w:type="dxa"/>
            <w:vAlign w:val="bottom"/>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spacing w:after="0" w:line="274" w:lineRule="auto"/>
        <w:rPr>
          <w:sz w:val="20"/>
          <w:szCs w:val="20"/>
          <w:color w:val="auto"/>
        </w:rPr>
      </w:pPr>
      <w:r>
        <w:rPr>
          <w:rFonts w:ascii="Arial" w:cs="Arial" w:eastAsia="Arial" w:hAnsi="Arial"/>
          <w:sz w:val="19"/>
          <w:szCs w:val="19"/>
          <w:i w:val="1"/>
          <w:iCs w:val="1"/>
          <w:color w:val="auto"/>
        </w:rPr>
        <w:t>*Gross sales is used internally by management as an indicator of and to monitor operating performance, including sales performance of particular products, salesperson performance, product growth or declines and overall Company performance. The use of gross sales allows evaluation of sales performance before the effect of any promotional items, which can mask certain performance issues. We therefore believe that the presentation of gross sales provides a useful measure of our operating performance. Gross sales is not a measure that is recognized under GAAP and should not be considered as an alternative to net sales, which is determined in accordance with GAAP, and should not be used alone as an indicator of operating performance in place of net sales. Additionally, gross sales may not be comparable to similarly titled measures used by other companies, as gross sales has been defined by our internal reporting practices. In addition, gross sales may not be realized in the form of cash receipts as promotional payments and allowances may be deducted from payments received from certain customers.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jc w:val="both"/>
        <w:ind w:firstLine="8"/>
        <w:spacing w:after="0" w:line="271" w:lineRule="auto"/>
        <w:tabs>
          <w:tab w:leader="none" w:pos="284" w:val="left"/>
        </w:tabs>
        <w:numPr>
          <w:ilvl w:val="0"/>
          <w:numId w:val="23"/>
        </w:numPr>
        <w:rPr>
          <w:rFonts w:ascii="Arial" w:cs="Arial" w:eastAsia="Arial" w:hAnsi="Arial"/>
          <w:sz w:val="19"/>
          <w:szCs w:val="19"/>
          <w:b w:val="1"/>
          <w:bCs w:val="1"/>
          <w:color w:val="auto"/>
        </w:rPr>
      </w:pPr>
      <w:r>
        <w:rPr>
          <w:rFonts w:ascii="Arial" w:cs="Arial" w:eastAsia="Arial" w:hAnsi="Arial"/>
          <w:sz w:val="19"/>
          <w:szCs w:val="19"/>
          <w:i w:val="1"/>
          <w:iCs w:val="1"/>
          <w:color w:val="auto"/>
        </w:rPr>
        <w:t>Although the expenditures described in this line item are determined in accordance with GAAP and meet GAAP requirements, the disclosure thereof does not conform with GAAP presentation requirements. Additionally, our definition of promotional and other allowances may not be comparable to similar items presented by other companies. Promotional and other allowances primarily include consideration given to the Company’s distributors or retail customers including, but not limited to the following:</w:t>
      </w:r>
    </w:p>
    <w:p>
      <w:pPr>
        <w:spacing w:after="0" w:line="3" w:lineRule="exact"/>
        <w:rPr>
          <w:rFonts w:ascii="Arial" w:cs="Arial" w:eastAsia="Arial" w:hAnsi="Arial"/>
          <w:sz w:val="19"/>
          <w:szCs w:val="19"/>
          <w:b w:val="1"/>
          <w:bCs w:val="1"/>
          <w:color w:val="auto"/>
        </w:rPr>
      </w:pPr>
    </w:p>
    <w:p>
      <w:pPr>
        <w:jc w:val="both"/>
        <w:spacing w:after="0" w:line="270" w:lineRule="auto"/>
        <w:rPr>
          <w:rFonts w:ascii="Arial" w:cs="Arial" w:eastAsia="Arial" w:hAnsi="Arial"/>
          <w:sz w:val="19"/>
          <w:szCs w:val="19"/>
          <w:b w:val="1"/>
          <w:bCs w:val="1"/>
          <w:color w:val="auto"/>
        </w:rPr>
      </w:pPr>
      <w:r>
        <w:rPr>
          <w:rFonts w:ascii="Arial" w:cs="Arial" w:eastAsia="Arial" w:hAnsi="Arial"/>
          <w:sz w:val="19"/>
          <w:szCs w:val="19"/>
          <w:i w:val="1"/>
          <w:iCs w:val="1"/>
          <w:color w:val="auto"/>
        </w:rPr>
        <w:t>(i) discounts granted off list prices to support price promotions to end-consumers by retailers; (ii) reimbursements given to the Company’s distributors for agreed portions of their promotional spend with retailers, including slotting, shelf space allowances and other fees for both new and existing products; (iii) the Company’s agreed share of fees given to distributors and/or directly to retailers for advertising, in-store marketing and promotional activities; (iv) the Company’s agreed share of slotting, shelf space allowances and other fees given directly to retailers; (v) incentives given to the Company’s distributors and/or retailers for achieving or exceeding certain predetermined sales goals; (vi) discounted or free products; and (vii) contractual fees given to the Company’s distributors related to sales made by the Company direct to certain customers that fall within the distributors’ sales territories. The presentation of promotional and other allowances facilitates an evaluation of their impact on the determination of net sales and the spending levels incurred or correlated with such sales. Promotional and other allowances constitute a material portion of our marketing activities. The Company’s promotional allowance programs with its numerous distributors and/or retailers are executed through separate agreements in the ordinary course of business. These agreements generally provide for one or more of the arrangements described above and are of varying durations, ranging from one week to one year.</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i w:val="1"/>
          <w:iCs w:val="1"/>
          <w:color w:val="auto"/>
        </w:rPr>
        <w:t>***Gross profit may not be comparable to that of other entities since some entities include all costs associated with their distribution process in cost of sales, whereas others exclude certain costs and instead include such costs within another line item such as operating expenses. We include out-bound freight and warehouse costs in operating expenses rather than in cost of sales.</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Results of Operations for the Three-Months Ended June 30, 2012 Compared to the Three-Months Ended June 30, 2011</w:t>
      </w:r>
    </w:p>
    <w:p>
      <w:pPr>
        <w:spacing w:after="0" w:line="26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i w:val="1"/>
          <w:iCs w:val="1"/>
          <w:color w:val="auto"/>
        </w:rPr>
        <w:t xml:space="preserve">Gross Sales. </w:t>
      </w:r>
      <w:r>
        <w:rPr>
          <w:rFonts w:ascii="Arial" w:cs="Arial" w:eastAsia="Arial" w:hAnsi="Arial"/>
          <w:sz w:val="19"/>
          <w:szCs w:val="19"/>
          <w:color w:val="auto"/>
        </w:rPr>
        <w:t>Gross sales were $678.9 million for the three-months ended June 30, 2012, an increase of approximately</w:t>
      </w:r>
      <w:r>
        <w:rPr>
          <w:rFonts w:ascii="Arial" w:cs="Arial" w:eastAsia="Arial" w:hAnsi="Arial"/>
          <w:sz w:val="19"/>
          <w:szCs w:val="19"/>
          <w:i w:val="1"/>
          <w:iCs w:val="1"/>
          <w:color w:val="auto"/>
        </w:rPr>
        <w:t xml:space="preserve"> </w:t>
      </w:r>
      <w:r>
        <w:rPr>
          <w:rFonts w:ascii="Arial" w:cs="Arial" w:eastAsia="Arial" w:hAnsi="Arial"/>
          <w:sz w:val="19"/>
          <w:szCs w:val="19"/>
          <w:color w:val="auto"/>
        </w:rPr>
        <w:t>$151.3 million, or 28.7% higher than gross sales of $527.5 million for the three-months ended June 30, 2011. The increase in the gross sales of our Monster Energy® brand energy drinks represented approximately $147.5 million, or 97.4%, of the overall</w:t>
      </w:r>
    </w:p>
    <w:p>
      <w:pPr>
        <w:sectPr>
          <w:pgSz w:w="11900" w:h="16890" w:orient="portrait"/>
          <w:cols w:equalWidth="0" w:num="1">
            <w:col w:w="11420"/>
          </w:cols>
          <w:pgMar w:left="240" w:top="140" w:right="239" w:bottom="0" w:gutter="0" w:footer="0" w:header="0"/>
        </w:sectPr>
      </w:pPr>
    </w:p>
    <w:bookmarkStart w:id="22" w:name="page23"/>
    <w:bookmarkEnd w:id="22"/>
    <w:p>
      <w:pPr>
        <w:jc w:val="both"/>
        <w:spacing w:after="0" w:line="245" w:lineRule="auto"/>
        <w:rPr>
          <w:sz w:val="20"/>
          <w:szCs w:val="20"/>
          <w:color w:val="auto"/>
        </w:rPr>
      </w:pPr>
      <w:r>
        <w:rPr>
          <w:rFonts w:ascii="Arial" w:cs="Arial" w:eastAsia="Arial" w:hAnsi="Arial"/>
          <w:sz w:val="21"/>
          <w:szCs w:val="21"/>
          <w:color w:val="auto"/>
        </w:rPr>
        <w:t>increase in gross sales. Gross sales of our Monster Energy® brand energy drinks increased primarily due to increased sales by volume as a result of increased domestic and international consumer demand as well as our expansion into new international markets. Pricing changes did not have a material impact on the increase in gross sales. No other individual product line contributed either a material increase or decrease to gross sales for the three-months ended June 30, 2012. Promotional and other allowances, as described in the footnote above, were $86.2 million for the three-months ended June 30, 2012, an increase of $20.8 million, or 31.9% higher than promotional and other allowances of $65.4 million for the three-months ended June 30, 2011. Promotional and other allowances as a percentage of gross sales increased to 12.7% from 12.4% for the three-months ended June 30, 2012 and 2011, respectively. As a result, the percentage increase in gross sales for the three-months ended June 30, 2012 was higher than the percentage increase in net sales.</w:t>
      </w:r>
    </w:p>
    <w:p>
      <w:pPr>
        <w:spacing w:after="0" w:line="21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Changes in foreign currency exchange rates had an unfavorable impact on gross sales of approximately 1% for the three-months ended June 30, 2012, which was primarily due to a stronger U.S. dollar compared to certain local currencies in which we conduct certain of our international business. We estimate that our gross sales for the three-months ended June 30, 2012 were positively impacted by approximately 1% due to initial inventory purchases by our distributor in Japan for the launch of the Monster Energy® brand in Japan during the second quarter of 2012.</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5" w:lineRule="exact"/>
        <w:rPr>
          <w:sz w:val="20"/>
          <w:szCs w:val="20"/>
          <w:color w:val="auto"/>
        </w:rPr>
      </w:pPr>
    </w:p>
    <w:p>
      <w:pPr>
        <w:jc w:val="both"/>
        <w:ind w:firstLine="687"/>
        <w:spacing w:after="0" w:line="247" w:lineRule="auto"/>
        <w:rPr>
          <w:sz w:val="20"/>
          <w:szCs w:val="20"/>
          <w:color w:val="auto"/>
        </w:rPr>
      </w:pPr>
      <w:r>
        <w:rPr>
          <w:rFonts w:ascii="Arial" w:cs="Arial" w:eastAsia="Arial" w:hAnsi="Arial"/>
          <w:sz w:val="21"/>
          <w:szCs w:val="21"/>
          <w:i w:val="1"/>
          <w:iCs w:val="1"/>
          <w:color w:val="auto"/>
        </w:rPr>
        <w:t xml:space="preserve">Net Sales. </w:t>
      </w:r>
      <w:r>
        <w:rPr>
          <w:rFonts w:ascii="Arial" w:cs="Arial" w:eastAsia="Arial" w:hAnsi="Arial"/>
          <w:sz w:val="21"/>
          <w:szCs w:val="21"/>
          <w:color w:val="auto"/>
        </w:rPr>
        <w:t>Net sales were $592.6 million for the three-months ended June 30, 2012, an increase of approximately $130.5</w:t>
      </w:r>
      <w:r>
        <w:rPr>
          <w:rFonts w:ascii="Arial" w:cs="Arial" w:eastAsia="Arial" w:hAnsi="Arial"/>
          <w:sz w:val="21"/>
          <w:szCs w:val="21"/>
          <w:i w:val="1"/>
          <w:iCs w:val="1"/>
          <w:color w:val="auto"/>
        </w:rPr>
        <w:t xml:space="preserve"> </w:t>
      </w:r>
      <w:r>
        <w:rPr>
          <w:rFonts w:ascii="Arial" w:cs="Arial" w:eastAsia="Arial" w:hAnsi="Arial"/>
          <w:sz w:val="21"/>
          <w:szCs w:val="21"/>
          <w:color w:val="auto"/>
        </w:rPr>
        <w:t>million, or 28.2% higher than net sales of $462.1 million for the three-months ended June 30, 2011. The increase in net sales of our Monster Energy® brand energy drinks represented approximately $127.4 million, or 97.6%, of the overall increase in net sales. Net sales of our Monster Energy® brand energy drinks increased primarily due to increased sales by volume as a result of increased domestic and international consumer demand as well as our expansion into new international markets. Pricing changes did not have a material impact on the increase in net sales. No other individual product line contributed either a material increase or decrease to net sales for the three-months ended June 30, 2012.</w:t>
      </w:r>
    </w:p>
    <w:p>
      <w:pPr>
        <w:spacing w:after="0" w:line="205" w:lineRule="exact"/>
        <w:rPr>
          <w:sz w:val="20"/>
          <w:szCs w:val="20"/>
          <w:color w:val="auto"/>
        </w:rPr>
      </w:pPr>
    </w:p>
    <w:p>
      <w:pPr>
        <w:jc w:val="both"/>
        <w:ind w:firstLine="687"/>
        <w:spacing w:after="0" w:line="236" w:lineRule="auto"/>
        <w:rPr>
          <w:sz w:val="20"/>
          <w:szCs w:val="20"/>
          <w:color w:val="auto"/>
        </w:rPr>
      </w:pPr>
      <w:r>
        <w:rPr>
          <w:rFonts w:ascii="Arial" w:cs="Arial" w:eastAsia="Arial" w:hAnsi="Arial"/>
          <w:sz w:val="22"/>
          <w:szCs w:val="22"/>
          <w:color w:val="auto"/>
        </w:rPr>
        <w:t>Changes in foreign currency exchange rates had an unfavorable impact on net sales of approximately 1% for the three-months ended June 30, 2012, which was primarily due to a stronger U.S. dollar compared to certain local currencies in which we conduct certain of our international business. We estimate that our net sales for the three-months ended June 30, 2012 were positively impacted by approximately 1% due to initial inventory purchases by our distributor in Japan for the launch of the Monster Energy® brand in Japan during the second quarter of 2012.</w:t>
      </w:r>
    </w:p>
    <w:p>
      <w:pPr>
        <w:spacing w:after="0" w:line="21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Case sales, in 192-ounce case equivalents, were 57.5 million cases for the three-months ended June 30, 2012, an increase of approximately 13.3 million cases or 29.9% higher than case sales of 44.3 million cases for the three-months ended June 30, 2011. The overall average net sales per case decreased to $10.30 for the three-months ended June 30, 2012, which was 1.3% lower than the average net sales per case of $10.44 for the three-months ended June 30, 2011. The lower overall average net sales per case was primarily due to increased promotional and other allowances as a percentage of gross sales, product and geographic mix.</w:t>
      </w:r>
    </w:p>
    <w:p>
      <w:pPr>
        <w:spacing w:after="0" w:line="175" w:lineRule="exact"/>
        <w:rPr>
          <w:sz w:val="20"/>
          <w:szCs w:val="20"/>
          <w:color w:val="auto"/>
        </w:rPr>
      </w:pPr>
    </w:p>
    <w:p>
      <w:pPr>
        <w:jc w:val="both"/>
        <w:ind w:firstLine="687"/>
        <w:spacing w:after="0" w:line="246" w:lineRule="auto"/>
        <w:rPr>
          <w:sz w:val="20"/>
          <w:szCs w:val="20"/>
          <w:color w:val="auto"/>
        </w:rPr>
      </w:pPr>
      <w:r>
        <w:rPr>
          <w:rFonts w:ascii="Arial" w:cs="Arial" w:eastAsia="Arial" w:hAnsi="Arial"/>
          <w:sz w:val="21"/>
          <w:szCs w:val="21"/>
          <w:color w:val="auto"/>
        </w:rPr>
        <w:t>Net sales for the DSD segment were $568.0 million for the three-months ended June 30, 2012, an increase of approximately $131.4 million, or 30.1% higher than net sales of $436.7 million for the three-months ended June 30, 2011. The increase in net sales of our Monster Energy® brand energy drinks represented approximately $127.4 million, or 97.0%, of the overall increase in net sales for the DSD segment. Net sales for the DSD segment of our Monster Energy® brand energy drinks increased primarily due to increased sales by volume as a result of increased domestic and international consumer demand as well as our expansion into new international markets. Pricing changes did not have a material impact on the increase in net sales for the DSD segment. No other individual product line contributed either a material increase or decrease to net sales for the DSD segment for the three-months ended June 30, 2012.</w:t>
      </w:r>
    </w:p>
    <w:p>
      <w:pPr>
        <w:spacing w:after="0" w:line="20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Net sales for the Warehouse segment were $24.6 million for the three-months ended June 30, 2012, a decrease of approximately $0.9 million, or 3.4% lower than net sales of $25.5 million for the three-months ended June 30, 2011.</w:t>
      </w:r>
    </w:p>
    <w:p>
      <w:pPr>
        <w:spacing w:after="0" w:line="17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i w:val="1"/>
          <w:iCs w:val="1"/>
          <w:color w:val="auto"/>
        </w:rPr>
        <w:t xml:space="preserve">Gross Profit. </w:t>
      </w:r>
      <w:r>
        <w:rPr>
          <w:rFonts w:ascii="Arial" w:cs="Arial" w:eastAsia="Arial" w:hAnsi="Arial"/>
          <w:sz w:val="21"/>
          <w:szCs w:val="21"/>
          <w:color w:val="auto"/>
        </w:rPr>
        <w:t>Gross profit was $307.0 million for the three-months ended June 30, 2012, an increase of approximately</w:t>
      </w:r>
      <w:r>
        <w:rPr>
          <w:rFonts w:ascii="Arial" w:cs="Arial" w:eastAsia="Arial" w:hAnsi="Arial"/>
          <w:sz w:val="21"/>
          <w:szCs w:val="21"/>
          <w:i w:val="1"/>
          <w:iCs w:val="1"/>
          <w:color w:val="auto"/>
        </w:rPr>
        <w:t xml:space="preserve"> </w:t>
      </w:r>
      <w:r>
        <w:rPr>
          <w:rFonts w:ascii="Arial" w:cs="Arial" w:eastAsia="Arial" w:hAnsi="Arial"/>
          <w:sz w:val="21"/>
          <w:szCs w:val="21"/>
          <w:color w:val="auto"/>
        </w:rPr>
        <w:t>$62.8 million, or 25.7% higher than the gross profit of $244.2 million for the three-months ended June 30, 2011. Gross profit as a percentage of net sales decreased to 51.8% for the three-months ended June 30, 2012 from 52.8% for the three-months ended June 30, 2011. The increase in gross profit dollars was primarily the result of the $147.5 million increase in gross sales of our Monster Energy® brand energy drinks. The decrease in gross profit as a percentage of net sales was largely attributable to geographic mix, increased promotional and other allowances as a percentage of gross sales and production variances and product damages primarily in connection with Japan and Korea.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18" w:right="239" w:bottom="248" w:gutter="0" w:footer="0" w:header="0"/>
        </w:sectPr>
      </w:pPr>
    </w:p>
    <w:bookmarkStart w:id="23" w:name="page24"/>
    <w:bookmarkEnd w:id="23"/>
    <w:p>
      <w:pPr>
        <w:jc w:val="both"/>
        <w:ind w:firstLine="648"/>
        <w:spacing w:after="0" w:line="275" w:lineRule="auto"/>
        <w:rPr>
          <w:sz w:val="20"/>
          <w:szCs w:val="20"/>
          <w:color w:val="auto"/>
        </w:rPr>
      </w:pPr>
      <w:r>
        <w:rPr>
          <w:rFonts w:ascii="Arial" w:cs="Arial" w:eastAsia="Arial" w:hAnsi="Arial"/>
          <w:sz w:val="19"/>
          <w:szCs w:val="19"/>
          <w:i w:val="1"/>
          <w:iCs w:val="1"/>
          <w:color w:val="auto"/>
        </w:rPr>
        <w:t>Operating Expenses</w:t>
      </w:r>
      <w:r>
        <w:rPr>
          <w:rFonts w:ascii="Arial" w:cs="Arial" w:eastAsia="Arial" w:hAnsi="Arial"/>
          <w:sz w:val="19"/>
          <w:szCs w:val="19"/>
          <w:color w:val="auto"/>
        </w:rPr>
        <w:t>. Total operating expenses were $137.2 million for the three-months ended June 30, 2012, an increase</w:t>
      </w:r>
      <w:r>
        <w:rPr>
          <w:rFonts w:ascii="Arial" w:cs="Arial" w:eastAsia="Arial" w:hAnsi="Arial"/>
          <w:sz w:val="19"/>
          <w:szCs w:val="19"/>
          <w:i w:val="1"/>
          <w:iCs w:val="1"/>
          <w:color w:val="auto"/>
        </w:rPr>
        <w:t xml:space="preserve"> </w:t>
      </w:r>
      <w:r>
        <w:rPr>
          <w:rFonts w:ascii="Arial" w:cs="Arial" w:eastAsia="Arial" w:hAnsi="Arial"/>
          <w:sz w:val="19"/>
          <w:szCs w:val="19"/>
          <w:color w:val="auto"/>
        </w:rPr>
        <w:t>of approximately $25.5 million, or 22.8% higher than total operating expenses of $111.7 million for the three-months ended June 30, 2011. The increase in operating expenses was partially attributable to increased payroll expenses of $6.9 million (of which $2.9 million was related to an increase in stock-based compensation), increased expenditures of $6.6 million for sponsorships and endorsements, increased out-bound freight and warehouse costs of $5.4 million, increased expenditures of $2.5 million for allocated trade development and increased expenditures of $1.9 million for merchandise displays. The increase in operating expenses was partially offset by decreased expenditures of $2.4 million for advertising. Total operating expenses as a percentage of net sales was 23.2% for the three-months ended June 30, 2012, compared to 24.2% for the three-months ended June 30, 2011.</w:t>
      </w:r>
    </w:p>
    <w:p>
      <w:pPr>
        <w:spacing w:after="0" w:line="18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i w:val="1"/>
          <w:iCs w:val="1"/>
          <w:color w:val="auto"/>
        </w:rPr>
        <w:t xml:space="preserve">Contribution Margin. </w:t>
      </w:r>
      <w:r>
        <w:rPr>
          <w:rFonts w:ascii="Arial" w:cs="Arial" w:eastAsia="Arial" w:hAnsi="Arial"/>
          <w:sz w:val="21"/>
          <w:szCs w:val="21"/>
          <w:color w:val="auto"/>
        </w:rPr>
        <w:t>Contribution margin for the DSD segment was $195.8 million for the three-months ended June 30,</w:t>
      </w:r>
      <w:r>
        <w:rPr>
          <w:rFonts w:ascii="Arial" w:cs="Arial" w:eastAsia="Arial" w:hAnsi="Arial"/>
          <w:sz w:val="21"/>
          <w:szCs w:val="21"/>
          <w:i w:val="1"/>
          <w:iCs w:val="1"/>
          <w:color w:val="auto"/>
        </w:rPr>
        <w:t xml:space="preserve"> </w:t>
      </w:r>
      <w:r>
        <w:rPr>
          <w:rFonts w:ascii="Arial" w:cs="Arial" w:eastAsia="Arial" w:hAnsi="Arial"/>
          <w:sz w:val="21"/>
          <w:szCs w:val="21"/>
          <w:color w:val="auto"/>
        </w:rPr>
        <w:t>2012, an increase of approximately $45.3 million, or 30.1% higher than contribution margin of $150.5 million for the three-months ended June 30, 2011. The increase in the contribution margin for the DSD segment was primarily the result of the $147.5 million increase in gross sales of our Monster Energy® brand energy drinks. Contribution margin for the Warehouse segment was $1.6 million for the three-months ended June 30, 2012, approximately $0.2 million higher than contribution margin of $1.4 million for the three-months ended June 30, 2011. The increase in the contribution margin for the Warehouse segment was primarily attributable to an increase in gross profit.</w:t>
      </w:r>
    </w:p>
    <w:p>
      <w:pPr>
        <w:spacing w:after="0" w:line="205"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i w:val="1"/>
          <w:iCs w:val="1"/>
          <w:color w:val="auto"/>
        </w:rPr>
        <w:t xml:space="preserve">Operating Income. </w:t>
      </w:r>
      <w:r>
        <w:rPr>
          <w:rFonts w:ascii="Arial" w:cs="Arial" w:eastAsia="Arial" w:hAnsi="Arial"/>
          <w:sz w:val="22"/>
          <w:szCs w:val="22"/>
          <w:color w:val="auto"/>
        </w:rPr>
        <w:t>Operating income was $169.8 million for the three-months ended June 30, 2012, an increase of</w:t>
      </w:r>
      <w:r>
        <w:rPr>
          <w:rFonts w:ascii="Arial" w:cs="Arial" w:eastAsia="Arial" w:hAnsi="Arial"/>
          <w:sz w:val="22"/>
          <w:szCs w:val="22"/>
          <w:i w:val="1"/>
          <w:iCs w:val="1"/>
          <w:color w:val="auto"/>
        </w:rPr>
        <w:t xml:space="preserve"> </w:t>
      </w:r>
      <w:r>
        <w:rPr>
          <w:rFonts w:ascii="Arial" w:cs="Arial" w:eastAsia="Arial" w:hAnsi="Arial"/>
          <w:sz w:val="22"/>
          <w:szCs w:val="22"/>
          <w:color w:val="auto"/>
        </w:rPr>
        <w:t>approximately $37.3 million, or 28.1% higher than operating income of $132.5 million for the three-months ended June 30, 2011. Operating income as a percentage of net sales was similar for the three-months ended June 30, 2012 and June 30, 2011. The increase in operating income was primarily due to an increase in gross profit of $62.8 million, partially offset by a $25.5 million increase in operating expenses. Operating income was negatively affected by combined operating losses of $2.6 million and $5.8 million for the three-months ended June 30, 2012 and 2011, respectively, in relation to our operations in Africa, Asia, Australia, Europe, the Middle East and South America.</w:t>
      </w:r>
    </w:p>
    <w:p>
      <w:pPr>
        <w:spacing w:after="0" w:line="218" w:lineRule="exact"/>
        <w:rPr>
          <w:sz w:val="20"/>
          <w:szCs w:val="20"/>
          <w:color w:val="auto"/>
        </w:rPr>
      </w:pPr>
    </w:p>
    <w:p>
      <w:pPr>
        <w:jc w:val="both"/>
        <w:ind w:firstLine="648"/>
        <w:spacing w:after="0"/>
        <w:rPr>
          <w:sz w:val="20"/>
          <w:szCs w:val="20"/>
          <w:color w:val="auto"/>
        </w:rPr>
      </w:pPr>
      <w:r>
        <w:rPr>
          <w:rFonts w:ascii="Arial" w:cs="Arial" w:eastAsia="Arial" w:hAnsi="Arial"/>
          <w:sz w:val="22"/>
          <w:szCs w:val="22"/>
          <w:i w:val="1"/>
          <w:iCs w:val="1"/>
          <w:color w:val="auto"/>
        </w:rPr>
        <w:t>Other (Expense) Income</w:t>
      </w:r>
      <w:r>
        <w:rPr>
          <w:rFonts w:ascii="Arial" w:cs="Arial" w:eastAsia="Arial" w:hAnsi="Arial"/>
          <w:sz w:val="22"/>
          <w:szCs w:val="22"/>
          <w:color w:val="auto"/>
        </w:rPr>
        <w:t>. Other (expense) was ($0.1) million for the three-months ended June 30, 2012, as compared to</w:t>
      </w:r>
      <w:r>
        <w:rPr>
          <w:rFonts w:ascii="Arial" w:cs="Arial" w:eastAsia="Arial" w:hAnsi="Arial"/>
          <w:sz w:val="22"/>
          <w:szCs w:val="22"/>
          <w:i w:val="1"/>
          <w:iCs w:val="1"/>
          <w:color w:val="auto"/>
        </w:rPr>
        <w:t xml:space="preserve"> </w:t>
      </w:r>
      <w:r>
        <w:rPr>
          <w:rFonts w:ascii="Arial" w:cs="Arial" w:eastAsia="Arial" w:hAnsi="Arial"/>
          <w:sz w:val="22"/>
          <w:szCs w:val="22"/>
          <w:color w:val="auto"/>
        </w:rPr>
        <w:t>other income of $0.3 million for the three-months ended June 30, 2011. Foreign currency losses of ($0.5) million were partially offset by interest income of $0.4 million for the three-months ended June 30, 2012.</w:t>
      </w:r>
    </w:p>
    <w:p>
      <w:pPr>
        <w:spacing w:after="0" w:line="21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i w:val="1"/>
          <w:iCs w:val="1"/>
          <w:color w:val="auto"/>
        </w:rPr>
        <w:t>Provision for Income Taxes</w:t>
      </w:r>
      <w:r>
        <w:rPr>
          <w:rFonts w:ascii="Arial" w:cs="Arial" w:eastAsia="Arial" w:hAnsi="Arial"/>
          <w:sz w:val="19"/>
          <w:szCs w:val="19"/>
          <w:color w:val="auto"/>
        </w:rPr>
        <w:t>. Provision for income taxes was $59.9 million for the three-months ended June 30, 2012, an</w:t>
      </w:r>
      <w:r>
        <w:rPr>
          <w:rFonts w:ascii="Arial" w:cs="Arial" w:eastAsia="Arial" w:hAnsi="Arial"/>
          <w:sz w:val="19"/>
          <w:szCs w:val="19"/>
          <w:i w:val="1"/>
          <w:iCs w:val="1"/>
          <w:color w:val="auto"/>
        </w:rPr>
        <w:t xml:space="preserve"> </w:t>
      </w:r>
      <w:r>
        <w:rPr>
          <w:rFonts w:ascii="Arial" w:cs="Arial" w:eastAsia="Arial" w:hAnsi="Arial"/>
          <w:sz w:val="19"/>
          <w:szCs w:val="19"/>
          <w:color w:val="auto"/>
        </w:rPr>
        <w:t>increase of $11.4 million or 23.5% higher than the provision for income taxes of $48.5 million for the three-months ended June 30, 2011. The effective combined federal, state and foreign tax rate decreased to 35.3% from 36.5% for the three-months ended June 30, 2012 and 2011, respectively. The decrease in the effective tax rate was primarily the result of the recognition of previously unrecognized tax benefits due to the completion of an Internal Revenue Service (“IRS”) audit for certain prior tax years.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i w:val="1"/>
          <w:iCs w:val="1"/>
          <w:color w:val="auto"/>
        </w:rPr>
        <w:t>Net Income</w:t>
      </w:r>
      <w:r>
        <w:rPr>
          <w:rFonts w:ascii="Arial" w:cs="Arial" w:eastAsia="Arial" w:hAnsi="Arial"/>
          <w:sz w:val="21"/>
          <w:szCs w:val="21"/>
          <w:color w:val="auto"/>
        </w:rPr>
        <w:t>. Net income was $109.8 million for the three-months ended June 30, 2012, an increase of $25.5 million or</w:t>
      </w:r>
      <w:r>
        <w:rPr>
          <w:rFonts w:ascii="Arial" w:cs="Arial" w:eastAsia="Arial" w:hAnsi="Arial"/>
          <w:sz w:val="21"/>
          <w:szCs w:val="21"/>
          <w:i w:val="1"/>
          <w:iCs w:val="1"/>
          <w:color w:val="auto"/>
        </w:rPr>
        <w:t xml:space="preserve"> </w:t>
      </w:r>
      <w:r>
        <w:rPr>
          <w:rFonts w:ascii="Arial" w:cs="Arial" w:eastAsia="Arial" w:hAnsi="Arial"/>
          <w:sz w:val="21"/>
          <w:szCs w:val="21"/>
          <w:color w:val="auto"/>
        </w:rPr>
        <w:t>30.3% higher than net income of $84.2 million for the three-months ended June 30, 2011. The increase in net income was primarily attributable to an increase in gross profit of $62.8 million. The increase in net income was partially offset by an increase in operating expenses of $25.5 million and an increase in the provision for income taxes of $11.4 million.</w:t>
      </w:r>
    </w:p>
    <w:p>
      <w:pPr>
        <w:spacing w:after="0" w:line="20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Results of Operations for the Six-Months Ended June 30, 2012 Compared to the Six-Months Ended June 30, 2011</w:t>
      </w:r>
    </w:p>
    <w:p>
      <w:pPr>
        <w:spacing w:after="0" w:line="24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i w:val="1"/>
          <w:iCs w:val="1"/>
          <w:color w:val="auto"/>
        </w:rPr>
        <w:t xml:space="preserve">Gross Sales. </w:t>
      </w:r>
      <w:r>
        <w:rPr>
          <w:rFonts w:ascii="Arial" w:cs="Arial" w:eastAsia="Arial" w:hAnsi="Arial"/>
          <w:sz w:val="19"/>
          <w:szCs w:val="19"/>
          <w:color w:val="auto"/>
        </w:rPr>
        <w:t>Gross sales were $1,196.2 million for the six-months ended June 30, 2012, an increase of approximately</w:t>
      </w:r>
      <w:r>
        <w:rPr>
          <w:rFonts w:ascii="Arial" w:cs="Arial" w:eastAsia="Arial" w:hAnsi="Arial"/>
          <w:sz w:val="19"/>
          <w:szCs w:val="19"/>
          <w:i w:val="1"/>
          <w:iCs w:val="1"/>
          <w:color w:val="auto"/>
        </w:rPr>
        <w:t xml:space="preserve"> </w:t>
      </w:r>
      <w:r>
        <w:rPr>
          <w:rFonts w:ascii="Arial" w:cs="Arial" w:eastAsia="Arial" w:hAnsi="Arial"/>
          <w:sz w:val="19"/>
          <w:szCs w:val="19"/>
          <w:color w:val="auto"/>
        </w:rPr>
        <w:t>$261.1 million, or 27.9% higher than gross sales of $935.1 million for the six-months ended June 30, 2011. The increase in the gross sales of our Monster Energy® brand energy drinks represented approximately $253.5 million, or 97.1%, of the overall increase in gross sales. Gross sales of our Monster Energy® brand energy drinks increased primarily due to increased sales by volume as a result of increased domestic and international consumer demand as well as our expansion into new international markets. Pricing changes did not have a material impact on the increase in gross sales. No other individual product line contributed either a material increase or decrease to gross sales for the six-months ended June 30, 2012. Promotional and other allowances, as described in the footnote above, were $148.9 million for the six-months ended June 30, 2012, an increase of $32.4 million, or 27.8% higher than promotional and other allowances of $116.5 million for the six-months ended June 30, 2011. Promotional and other allowances as a percentage of gross sales was 12.5% for both the six-months ended June 30, 2012 and 2011. As a result, the percentage increase in gross sales for the six-months ended June 30, 2012 was the same as the percentage increase in net sales.</w:t>
      </w:r>
    </w:p>
    <w:p>
      <w:pPr>
        <w:spacing w:after="0" w:line="183" w:lineRule="exact"/>
        <w:rPr>
          <w:sz w:val="20"/>
          <w:szCs w:val="20"/>
          <w:color w:val="auto"/>
        </w:rPr>
      </w:pPr>
    </w:p>
    <w:p>
      <w:pPr>
        <w:jc w:val="both"/>
        <w:ind w:firstLine="687"/>
        <w:spacing w:after="0" w:line="247" w:lineRule="auto"/>
        <w:rPr>
          <w:sz w:val="20"/>
          <w:szCs w:val="20"/>
          <w:color w:val="auto"/>
        </w:rPr>
      </w:pPr>
      <w:r>
        <w:rPr>
          <w:rFonts w:ascii="Arial" w:cs="Arial" w:eastAsia="Arial" w:hAnsi="Arial"/>
          <w:sz w:val="21"/>
          <w:szCs w:val="21"/>
          <w:i w:val="1"/>
          <w:iCs w:val="1"/>
          <w:color w:val="auto"/>
        </w:rPr>
        <w:t xml:space="preserve">Net Sales. </w:t>
      </w:r>
      <w:r>
        <w:rPr>
          <w:rFonts w:ascii="Arial" w:cs="Arial" w:eastAsia="Arial" w:hAnsi="Arial"/>
          <w:sz w:val="21"/>
          <w:szCs w:val="21"/>
          <w:color w:val="auto"/>
        </w:rPr>
        <w:t>Net sales were $1,047.2 million for the six-months ended June 30, 2012, an increase of approximately $228.7</w:t>
      </w:r>
      <w:r>
        <w:rPr>
          <w:rFonts w:ascii="Arial" w:cs="Arial" w:eastAsia="Arial" w:hAnsi="Arial"/>
          <w:sz w:val="21"/>
          <w:szCs w:val="21"/>
          <w:i w:val="1"/>
          <w:iCs w:val="1"/>
          <w:color w:val="auto"/>
        </w:rPr>
        <w:t xml:space="preserve"> </w:t>
      </w:r>
      <w:r>
        <w:rPr>
          <w:rFonts w:ascii="Arial" w:cs="Arial" w:eastAsia="Arial" w:hAnsi="Arial"/>
          <w:sz w:val="21"/>
          <w:szCs w:val="21"/>
          <w:color w:val="auto"/>
        </w:rPr>
        <w:t>million, or 27.9% higher than net sales of $818.6 million for the six-months ended June 30, 2011. The increase in net sales of our Monster Energy® brand energy drinks represented approximately $217.9 million, or 95.3%, of the overall increase in net sales. Net sales of our Monster Energy® brand energy drinks increased primarily due to increased sales by volume as a result of increased domestic and international consumer demand as well as our expansion into new international markets. Pricing changes did not have a material impact on the increase in net sales. No other individual product line contributed either a material increase or decrease to net sales for the six-months ended June 30, 2012.</w:t>
      </w:r>
    </w:p>
    <w:p>
      <w:pPr>
        <w:sectPr>
          <w:pgSz w:w="11900" w:h="16838" w:orient="portrait"/>
          <w:cols w:equalWidth="0" w:num="1">
            <w:col w:w="11420"/>
          </w:cols>
          <w:pgMar w:left="240" w:top="118" w:right="239" w:bottom="168" w:gutter="0" w:footer="0" w:header="0"/>
        </w:sectPr>
      </w:pPr>
    </w:p>
    <w:bookmarkStart w:id="24" w:name="page25"/>
    <w:bookmarkEnd w:id="24"/>
    <w:p>
      <w:pPr>
        <w:jc w:val="both"/>
        <w:ind w:firstLine="648"/>
        <w:spacing w:after="0" w:line="252" w:lineRule="auto"/>
        <w:rPr>
          <w:sz w:val="20"/>
          <w:szCs w:val="20"/>
          <w:color w:val="auto"/>
        </w:rPr>
      </w:pPr>
      <w:r>
        <w:rPr>
          <w:rFonts w:ascii="Arial" w:cs="Arial" w:eastAsia="Arial" w:hAnsi="Arial"/>
          <w:sz w:val="21"/>
          <w:szCs w:val="21"/>
          <w:color w:val="auto"/>
        </w:rPr>
        <w:t>Case sales, in 192-ounce case equivalents, were 101.9 million cases for the six-months ended June 30, 2012, an increase of approximately 23.0 million cases or 29.1% higher than case sales of 79.0 million cases for the six-months ended June 30, 2011. The overall average net sales per case decreased slightly to $10.28 for the six-months ended June 30, 2012, which was 0.9% lower than the average net sales per case of $10.37 for the six-months ended June 30, 2011.</w:t>
      </w:r>
    </w:p>
    <w:p>
      <w:pPr>
        <w:spacing w:after="0" w:line="202" w:lineRule="exact"/>
        <w:rPr>
          <w:sz w:val="20"/>
          <w:szCs w:val="20"/>
          <w:color w:val="auto"/>
        </w:rPr>
      </w:pPr>
    </w:p>
    <w:p>
      <w:pPr>
        <w:jc w:val="both"/>
        <w:ind w:firstLine="687"/>
        <w:spacing w:after="0" w:line="235" w:lineRule="auto"/>
        <w:rPr>
          <w:sz w:val="20"/>
          <w:szCs w:val="20"/>
          <w:color w:val="auto"/>
        </w:rPr>
      </w:pPr>
      <w:r>
        <w:rPr>
          <w:rFonts w:ascii="Arial" w:cs="Arial" w:eastAsia="Arial" w:hAnsi="Arial"/>
          <w:sz w:val="22"/>
          <w:szCs w:val="22"/>
          <w:color w:val="auto"/>
        </w:rPr>
        <w:t>Net sales for the DSD segment were $999.2 million for the six-months ended June 30, 2012, an increase of approximately $227.8 million, or 29.5% higher than net sales of $771.4 million for the six-months ended June 30, 2011. The increase in net sales of our Monster Energy® brand energy drinks represented approximately $217.9 million, or 95.7%, of the overall increase in net sales for the DSD segment. Net sales for the DSD segment of our Monster Energy® brand energy drinks increased primarily due to increased sales by volume as a result of increased domestic and international consumer demand as well as our expansion into new international markets. Pricing</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changes did not have a material impact on the increase in net sales for the DSD segment. No other individual product line contributed either a material increase or decrease to net sales for the DSD segment for the six-months ended June 30, 2012.</w:t>
      </w:r>
    </w:p>
    <w:p>
      <w:pPr>
        <w:spacing w:after="0" w:line="10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Net sales for the Warehouse segment were $48.0 million for the six-months ended June 30, 2012, an increase of approximately $0.9 million, or 1.8% higher than net sales of $47.2 million for the six-months ended June 30, 2011.</w:t>
      </w:r>
    </w:p>
    <w:p>
      <w:pPr>
        <w:spacing w:after="0" w:line="20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i w:val="1"/>
          <w:iCs w:val="1"/>
          <w:color w:val="auto"/>
        </w:rPr>
        <w:t xml:space="preserve">Gross Profit. </w:t>
      </w:r>
      <w:r>
        <w:rPr>
          <w:rFonts w:ascii="Arial" w:cs="Arial" w:eastAsia="Arial" w:hAnsi="Arial"/>
          <w:sz w:val="22"/>
          <w:szCs w:val="22"/>
          <w:color w:val="auto"/>
        </w:rPr>
        <w:t>Gross profit was $548.2 million for the six-months ended June 30, 2012, an increase of approximately $118.4</w:t>
      </w:r>
      <w:r>
        <w:rPr>
          <w:rFonts w:ascii="Arial" w:cs="Arial" w:eastAsia="Arial" w:hAnsi="Arial"/>
          <w:sz w:val="22"/>
          <w:szCs w:val="22"/>
          <w:i w:val="1"/>
          <w:iCs w:val="1"/>
          <w:color w:val="auto"/>
        </w:rPr>
        <w:t xml:space="preserve"> </w:t>
      </w:r>
      <w:r>
        <w:rPr>
          <w:rFonts w:ascii="Arial" w:cs="Arial" w:eastAsia="Arial" w:hAnsi="Arial"/>
          <w:sz w:val="22"/>
          <w:szCs w:val="22"/>
          <w:color w:val="auto"/>
        </w:rPr>
        <w:t>million, or 27.6% higher than the gross profit of $429.8 million for the six-months ended June 30, 2011. Gross profit as a percentage of net sales decreased to 52.3% for the six-months ended June 30, 2012 from 52.5% for the six-months ended June 30, 2011. The increase in gross profit dollars was primarily the result of the $253.5 million increase in gross sales of our Monster Energy® brand energy drinks.</w:t>
      </w:r>
    </w:p>
    <w:p>
      <w:pPr>
        <w:spacing w:after="0" w:line="215"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i w:val="1"/>
          <w:iCs w:val="1"/>
          <w:color w:val="auto"/>
        </w:rPr>
        <w:t>Operating Expenses</w:t>
      </w:r>
      <w:r>
        <w:rPr>
          <w:rFonts w:ascii="Arial" w:cs="Arial" w:eastAsia="Arial" w:hAnsi="Arial"/>
          <w:sz w:val="21"/>
          <w:szCs w:val="21"/>
          <w:color w:val="auto"/>
        </w:rPr>
        <w:t>. Total operating expenses were $252.1 million for the six-months ended June 30, 2012, an increase of</w:t>
      </w:r>
      <w:r>
        <w:rPr>
          <w:rFonts w:ascii="Arial" w:cs="Arial" w:eastAsia="Arial" w:hAnsi="Arial"/>
          <w:sz w:val="21"/>
          <w:szCs w:val="21"/>
          <w:i w:val="1"/>
          <w:iCs w:val="1"/>
          <w:color w:val="auto"/>
        </w:rPr>
        <w:t xml:space="preserve"> </w:t>
      </w:r>
      <w:r>
        <w:rPr>
          <w:rFonts w:ascii="Arial" w:cs="Arial" w:eastAsia="Arial" w:hAnsi="Arial"/>
          <w:sz w:val="21"/>
          <w:szCs w:val="21"/>
          <w:color w:val="auto"/>
        </w:rPr>
        <w:t>approximately $43.3 million, or 20.7% higher than total operating expenses of $208.8 million for the six-months ended June 30, 2011. The increase in operating expenses was partially attributable to increased payroll expenses of $14.0 million (of which $5.7 million was related to an increase in stock-based compensation), increased out-bound freight and warehouse costs of $10.5 million, increased expenditures of $10.0 million for sponsorships and endorsements, increased expenditures of $5.5 million for allocated trade development, increased expenditures of $3.0 million for premiums and increased expenditures of $2.7 million for merchandise displays. The increase in operating expenses was partially offset by decreased expenditures of $6.1 million for advertising and a $2.3 million insurance reimbursement related to legal fees incurred in prior periods. Total operating expenses as a percentage of net sales was 24.1% for the six-months ended June 30, 2012, compared to 25.5% for the six-months ended June 30, 2011.</w:t>
      </w:r>
    </w:p>
    <w:p>
      <w:pPr>
        <w:spacing w:after="0" w:line="20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i w:val="1"/>
          <w:iCs w:val="1"/>
          <w:color w:val="auto"/>
        </w:rPr>
        <w:t xml:space="preserve">Contribution Margin. </w:t>
      </w:r>
      <w:r>
        <w:rPr>
          <w:rFonts w:ascii="Arial" w:cs="Arial" w:eastAsia="Arial" w:hAnsi="Arial"/>
          <w:sz w:val="19"/>
          <w:szCs w:val="19"/>
          <w:color w:val="auto"/>
        </w:rPr>
        <w:t>Contribution margin for the DSD segment was $344.9 million for the six-months ended June 30,</w:t>
      </w:r>
      <w:r>
        <w:rPr>
          <w:rFonts w:ascii="Arial" w:cs="Arial" w:eastAsia="Arial" w:hAnsi="Arial"/>
          <w:sz w:val="19"/>
          <w:szCs w:val="19"/>
          <w:i w:val="1"/>
          <w:iCs w:val="1"/>
          <w:color w:val="auto"/>
        </w:rPr>
        <w:t xml:space="preserve"> </w:t>
      </w:r>
      <w:r>
        <w:rPr>
          <w:rFonts w:ascii="Arial" w:cs="Arial" w:eastAsia="Arial" w:hAnsi="Arial"/>
          <w:sz w:val="19"/>
          <w:szCs w:val="19"/>
          <w:color w:val="auto"/>
        </w:rPr>
        <w:t>2012, an increase of approximately $84.3 million, or 32.4% higher than contribution margin of $260.5 million for the six-months ended June 30, 2011. The increase in the contribution margin for the DSD segment was primarily the result of the $253.5 million increase in gross sales of our Monster Energy® brand energy drinks. Contribution margin for the Warehouse segment was $3.8 million for the six-months ended June 30, 2012, approximately $2.7 million higher than contribution margin of $1.1 million for the six-months ended June 30, 2011. The increase in the contribution margin for the Warehouse segment was primarily attributable to decreased promotional and other allowances and lower operating expenses.</w:t>
      </w:r>
    </w:p>
    <w:p>
      <w:pPr>
        <w:spacing w:after="0" w:line="18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i w:val="1"/>
          <w:iCs w:val="1"/>
          <w:color w:val="auto"/>
        </w:rPr>
        <w:t xml:space="preserve">Operating Income. </w:t>
      </w:r>
      <w:r>
        <w:rPr>
          <w:rFonts w:ascii="Arial" w:cs="Arial" w:eastAsia="Arial" w:hAnsi="Arial"/>
          <w:sz w:val="19"/>
          <w:szCs w:val="19"/>
          <w:color w:val="auto"/>
        </w:rPr>
        <w:t>Operating income was $296.1 million for the six-months ended June 30, 2012, an increase of</w:t>
      </w:r>
      <w:r>
        <w:rPr>
          <w:rFonts w:ascii="Arial" w:cs="Arial" w:eastAsia="Arial" w:hAnsi="Arial"/>
          <w:sz w:val="19"/>
          <w:szCs w:val="19"/>
          <w:i w:val="1"/>
          <w:iCs w:val="1"/>
          <w:color w:val="auto"/>
        </w:rPr>
        <w:t xml:space="preserve"> </w:t>
      </w:r>
      <w:r>
        <w:rPr>
          <w:rFonts w:ascii="Arial" w:cs="Arial" w:eastAsia="Arial" w:hAnsi="Arial"/>
          <w:sz w:val="19"/>
          <w:szCs w:val="19"/>
          <w:color w:val="auto"/>
        </w:rPr>
        <w:t>approximately $75.1 million, or 34.0% higher than operating income of $220.9 million for the six-months ended June 30, 2011. Operating income as a percentage of net sales increased to 28.3% for the six-months ended June 30, 2012 from 27.0% for the six-months ended June 30, 2011. The increase in operating income was primarily due to an increase in gross profit of $118.4 million, partially offset by a $43.3 million increase in operating expenses. The increase in operating income as a percentage of net sales was primarily due to a decrease in operating expenses as a percentage of net sales. Operating income was negatively affected by combined operating losses of $6.8 million and $9.0 million for the six-months ended June 30, 2012 and 2011, respectively, in relation to our operations in Africa, Asia, Australia, Europe, the Middle East and South America.</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i w:val="1"/>
          <w:iCs w:val="1"/>
          <w:color w:val="auto"/>
        </w:rPr>
        <w:t>Other (Expense) Income</w:t>
      </w:r>
      <w:r>
        <w:rPr>
          <w:rFonts w:ascii="Arial" w:cs="Arial" w:eastAsia="Arial" w:hAnsi="Arial"/>
          <w:sz w:val="22"/>
          <w:szCs w:val="22"/>
          <w:color w:val="auto"/>
        </w:rPr>
        <w:t>. Other (expense) income was $0.3 million for the six-months ended June 30, 2012, a decrease of</w:t>
      </w:r>
      <w:r>
        <w:rPr>
          <w:rFonts w:ascii="Arial" w:cs="Arial" w:eastAsia="Arial" w:hAnsi="Arial"/>
          <w:sz w:val="22"/>
          <w:szCs w:val="22"/>
          <w:i w:val="1"/>
          <w:iCs w:val="1"/>
          <w:color w:val="auto"/>
        </w:rPr>
        <w:t xml:space="preserve"> </w:t>
      </w:r>
      <w:r>
        <w:rPr>
          <w:rFonts w:ascii="Arial" w:cs="Arial" w:eastAsia="Arial" w:hAnsi="Arial"/>
          <w:sz w:val="22"/>
          <w:szCs w:val="22"/>
          <w:color w:val="auto"/>
        </w:rPr>
        <w:t>$0.3 million from $0.6 million for the six-months ended June 30, 2011.</w:t>
      </w:r>
    </w:p>
    <w:p>
      <w:pPr>
        <w:spacing w:after="0" w:line="20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i w:val="1"/>
          <w:iCs w:val="1"/>
          <w:color w:val="auto"/>
        </w:rPr>
        <w:t>Provision for Income Taxes</w:t>
      </w:r>
      <w:r>
        <w:rPr>
          <w:rFonts w:ascii="Arial" w:cs="Arial" w:eastAsia="Arial" w:hAnsi="Arial"/>
          <w:sz w:val="19"/>
          <w:szCs w:val="19"/>
          <w:color w:val="auto"/>
        </w:rPr>
        <w:t>. Provision for income taxes was $110.5 million for the six-months ended June 30, 2012, an</w:t>
      </w:r>
      <w:r>
        <w:rPr>
          <w:rFonts w:ascii="Arial" w:cs="Arial" w:eastAsia="Arial" w:hAnsi="Arial"/>
          <w:sz w:val="19"/>
          <w:szCs w:val="19"/>
          <w:i w:val="1"/>
          <w:iCs w:val="1"/>
          <w:color w:val="auto"/>
        </w:rPr>
        <w:t xml:space="preserve"> </w:t>
      </w:r>
      <w:r>
        <w:rPr>
          <w:rFonts w:ascii="Arial" w:cs="Arial" w:eastAsia="Arial" w:hAnsi="Arial"/>
          <w:sz w:val="19"/>
          <w:szCs w:val="19"/>
          <w:color w:val="auto"/>
        </w:rPr>
        <w:t>increase of $28.2 million or 34.3% higher than the provision for income taxes of $82.2 million for the six-months ended June 30, 2011. The effective combined federal, state and foreign tax rate increased to 37.3% from 37.1% for the six-months ended June 30,</w:t>
      </w:r>
    </w:p>
    <w:p>
      <w:pPr>
        <w:sectPr>
          <w:pgSz w:w="11900" w:h="16838" w:orient="portrait"/>
          <w:cols w:equalWidth="0" w:num="1">
            <w:col w:w="11420"/>
          </w:cols>
          <w:pgMar w:left="240" w:top="118" w:right="239" w:bottom="0" w:gutter="0" w:footer="0" w:header="0"/>
        </w:sectPr>
      </w:pPr>
    </w:p>
    <w:bookmarkStart w:id="25" w:name="page26"/>
    <w:bookmarkEnd w:id="25"/>
    <w:p>
      <w:pPr>
        <w:jc w:val="both"/>
        <w:spacing w:after="0" w:line="252" w:lineRule="auto"/>
        <w:rPr>
          <w:sz w:val="20"/>
          <w:szCs w:val="20"/>
          <w:color w:val="auto"/>
        </w:rPr>
      </w:pPr>
      <w:r>
        <w:rPr>
          <w:rFonts w:ascii="Arial" w:cs="Arial" w:eastAsia="Arial" w:hAnsi="Arial"/>
          <w:sz w:val="21"/>
          <w:szCs w:val="21"/>
          <w:color w:val="auto"/>
        </w:rPr>
        <w:t>2012 and 2011, respectively. The increase in the effective tax rate was primarily the result of the establishment of a full valuation allowance against the deferred tax assets of a foreign subsidiary during the three-months ended March 31, 2012 and the tax rate differences between the different jurisdictions on certain intercompany charges. This increase was partially offset by the recognition of the previously unrecognized tax benefits due to the completion of an IRS audit.</w:t>
      </w:r>
    </w:p>
    <w:p>
      <w:pPr>
        <w:spacing w:after="0" w:line="20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i w:val="1"/>
          <w:iCs w:val="1"/>
          <w:color w:val="auto"/>
        </w:rPr>
        <w:t>Net Income</w:t>
      </w:r>
      <w:r>
        <w:rPr>
          <w:rFonts w:ascii="Arial" w:cs="Arial" w:eastAsia="Arial" w:hAnsi="Arial"/>
          <w:sz w:val="21"/>
          <w:szCs w:val="21"/>
          <w:color w:val="auto"/>
        </w:rPr>
        <w:t>. Net income was $185.9 million for the six-months ended June 30, 2012, an increase of $46.6 million or 33.5%</w:t>
      </w:r>
      <w:r>
        <w:rPr>
          <w:rFonts w:ascii="Arial" w:cs="Arial" w:eastAsia="Arial" w:hAnsi="Arial"/>
          <w:sz w:val="21"/>
          <w:szCs w:val="21"/>
          <w:i w:val="1"/>
          <w:iCs w:val="1"/>
          <w:color w:val="auto"/>
        </w:rPr>
        <w:t xml:space="preserve"> </w:t>
      </w:r>
      <w:r>
        <w:rPr>
          <w:rFonts w:ascii="Arial" w:cs="Arial" w:eastAsia="Arial" w:hAnsi="Arial"/>
          <w:sz w:val="21"/>
          <w:szCs w:val="21"/>
          <w:color w:val="auto"/>
        </w:rPr>
        <w:t>higher than net income of $139.3 million for the six-months ended June 30, 2011. The increase in net income was primarily attributable to an increase in gross profit of $118.4 million. The increase in net income was partially offset by an increase in operating expenses of $43.3 million and an increase in the provision for income taxes of $28.2 million.</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3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i w:val="1"/>
          <w:iCs w:val="1"/>
          <w:color w:val="auto"/>
        </w:rPr>
        <w:t xml:space="preserve">Cash flows provided by operating activities. </w:t>
      </w:r>
      <w:r>
        <w:rPr>
          <w:rFonts w:ascii="Arial" w:cs="Arial" w:eastAsia="Arial" w:hAnsi="Arial"/>
          <w:sz w:val="19"/>
          <w:szCs w:val="19"/>
          <w:color w:val="auto"/>
        </w:rPr>
        <w:t>Net cash provided by operating activities was $110.1 million for the six-months ended June 30, 2012, as compared with net cash provided by operating activities of $124.0 million for the six-months ended June 30, 2011. For the six-months ended June 30, 2012, cash provided by operating activities was primarily attributable to net income earned of $185.9 million and adjustments for certain non-cash expenses consisting of $13.6 million of stock-based compensation, $10.1 million of depreciation and other amortization, a $2.6 million decrease in deferred income taxes and a $1.2 million loss on put options. For the six-months ended June 30, 2012, cash provided by operating activities also increased due to a $45.1 million increase in accounts payable and a $25.3 million increase in accrued liabilities. For the six-months ended June 30, 2012, cash provided by operating activities was reduced due to a $87.8 million increase in accounts receivable, a $44.3 million increase in inventory, a $24.6 million decrease in accrued promotional allowances, a $5.0 million decrease in income taxes payable, a $2.9 million decrease in deferred revenue, a $2.9 million increase in tax benefit from the exercise of stock options, a $2.5 million decrease in accrued compensation, a $2.4 million increase in prepaid income taxes and a $1.6 million gain on investments. For the six-months ended June 30, 2011, cash provided by operating activities was primarily attributable to net income earned of $139.3 million and adjustments for certain non-cash expenses consisting of $7.9 million of stock-based compensation and $7.7 million of depreciation and other amortization. For the six-months ended June 30, 2011, cash provided by operating activities also increased due to a $43.4 million increase in accounts payable, a $9.7 million decrease in prepaid income taxes, a $9.0 million increase in income taxes payable and a $12.5 million increase in accrued liabilities. For the six-months ended June 30, 2011, cash provided by operating activities was reduced due to an $87.0 million increase in accounts receivable, a $7.0 million decrease in accrued promotional allowances, a $2.9 million increase in prepaid expenses and other current assets, a $2.6 million decrease in deferred revenue, a $2.5 million increase in inventory, a $1.8 million decrease in accrued compensation and a $1.1 million increase in tax benefit from the exercise of stock options.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i w:val="1"/>
          <w:iCs w:val="1"/>
          <w:color w:val="auto"/>
        </w:rPr>
        <w:t xml:space="preserve">Cash flows used in investing activities. </w:t>
      </w:r>
      <w:r>
        <w:rPr>
          <w:rFonts w:ascii="Arial" w:cs="Arial" w:eastAsia="Arial" w:hAnsi="Arial"/>
          <w:sz w:val="19"/>
          <w:szCs w:val="19"/>
          <w:color w:val="auto"/>
        </w:rPr>
        <w:t>Net cash used in investing activities was $57.5 million for the six-months ended</w:t>
      </w:r>
      <w:r>
        <w:rPr>
          <w:rFonts w:ascii="Arial" w:cs="Arial" w:eastAsia="Arial" w:hAnsi="Arial"/>
          <w:sz w:val="19"/>
          <w:szCs w:val="19"/>
          <w:i w:val="1"/>
          <w:iCs w:val="1"/>
          <w:color w:val="auto"/>
        </w:rPr>
        <w:t xml:space="preserve"> </w:t>
      </w:r>
      <w:r>
        <w:rPr>
          <w:rFonts w:ascii="Arial" w:cs="Arial" w:eastAsia="Arial" w:hAnsi="Arial"/>
          <w:sz w:val="19"/>
          <w:szCs w:val="19"/>
          <w:color w:val="auto"/>
        </w:rPr>
        <w:t>June 30, 2012, as compared to net cash used in investing activities of $34.9 million for the six-months ended June 30, 2011. For the six-months ended June 30, 2012, cash used in investing activities was primarily attributable to purchases of held-to-maturity investments, purchases of available-for-sale investments, purchases of property and equipment, including the purchase of real property, and additions to intangibles. For the six-months ended June 30, 2011, cash used in investing activities was primarily attributable to purchases of held-to-maturity investments, purchases of available-for-sale investments, purchases of property and equipment and additions to intangibles. For both the six-months ended June 30, 2012 and 2011, cash provided by investing activities was primarily attributable to maturities of held-to-maturity investments, sales of available-for-sale investments and sales of trading investments. For both the six-months ended June 30, 2012 and 2011, cash used in investing activities also included the acquisitions of fixed assets consisting of vans and promotional vehicles, coolers and other equipment to support our marketing and promotional activities, production equipment, furniture and fixtures, office and computer equipment, computer software, and equipment used for sales and administrative activities, as well as certain leasehold improvements. We expect to continue to use a portion of our cash in excess of our requirements for operations for purchasing short-term and long-term investments, and for other corporate purposes, including, the acquisition of capital equipment, specifically, vans, trucks and promotional vehicles, coolers, other promotional equipment, merchandise displays, warehousing racks as well as items of production equipment required to produce certain of our existing and/or new products and to develop our brand in international markets. From time to time, we may also purchase additional real property related to our beverage business and/or acquire compatible businesses as a use of cash in excess of our requirements for operations.</w:t>
      </w:r>
    </w:p>
    <w:p>
      <w:pPr>
        <w:spacing w:after="0" w:line="200" w:lineRule="exact"/>
        <w:rPr>
          <w:sz w:val="20"/>
          <w:szCs w:val="20"/>
          <w:color w:val="auto"/>
        </w:rPr>
      </w:pPr>
    </w:p>
    <w:p>
      <w:pPr>
        <w:spacing w:after="0" w:line="24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i w:val="1"/>
          <w:iCs w:val="1"/>
          <w:color w:val="auto"/>
        </w:rPr>
        <w:t xml:space="preserve">Cash flows provided by (used in) financing activities. </w:t>
      </w:r>
      <w:r>
        <w:rPr>
          <w:rFonts w:ascii="Arial" w:cs="Arial" w:eastAsia="Arial" w:hAnsi="Arial"/>
          <w:sz w:val="19"/>
          <w:szCs w:val="19"/>
          <w:color w:val="auto"/>
        </w:rPr>
        <w:t>Net cash provided by financing activities was $8.3 million for the six-months ended June 30, 2012, as compared to net cash used in financing activities of $27.1 million for the six-months ended June 30, 2011. For the six-months ended June 30, 2012, cash provided by financing activities was primarily attributable to $6.4 million received from the issuance of common stock in connection with the exercise of certain stock options. For the six-months ended June 30, 2011, cash used in financing activities was primarily attributable to $38.9 million of purchases of common stock. For the six-months ended June 30, 2011, cash provided by financing activities was primarily attributable to $11.3 million received from the issuance of common stock in connection with the exercise of certain stock options.</w:t>
      </w:r>
    </w:p>
    <w:p>
      <w:pPr>
        <w:spacing w:after="0" w:line="18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Purchases of inventories, increases in accounts receivable and other assets, acquisition of property and equipment, acquisition and maintenance of trademarks, payments of accounts payable, income taxes payable and purchases of our common stock are expected to remain our principal recurring use of cash.</w:t>
      </w:r>
    </w:p>
    <w:p>
      <w:pPr>
        <w:sectPr>
          <w:pgSz w:w="11900" w:h="16838" w:orient="portrait"/>
          <w:cols w:equalWidth="0" w:num="1">
            <w:col w:w="11420"/>
          </w:cols>
          <w:pgMar w:left="240" w:top="118" w:right="239" w:bottom="0" w:gutter="0" w:footer="0" w:header="0"/>
        </w:sectPr>
      </w:pPr>
    </w:p>
    <w:bookmarkStart w:id="26" w:name="page27"/>
    <w:bookmarkEnd w:id="26"/>
    <w:p>
      <w:pPr>
        <w:jc w:val="both"/>
        <w:ind w:firstLine="648"/>
        <w:spacing w:after="0" w:line="279" w:lineRule="auto"/>
        <w:rPr>
          <w:sz w:val="20"/>
          <w:szCs w:val="20"/>
          <w:color w:val="auto"/>
        </w:rPr>
      </w:pPr>
      <w:r>
        <w:rPr>
          <w:rFonts w:ascii="Arial" w:cs="Arial" w:eastAsia="Arial" w:hAnsi="Arial"/>
          <w:sz w:val="19"/>
          <w:szCs w:val="19"/>
          <w:i w:val="1"/>
          <w:iCs w:val="1"/>
          <w:color w:val="auto"/>
        </w:rPr>
        <w:t xml:space="preserve">Cash and cash equivalents, short-term and long-term investments. </w:t>
      </w:r>
      <w:r>
        <w:rPr>
          <w:rFonts w:ascii="Arial" w:cs="Arial" w:eastAsia="Arial" w:hAnsi="Arial"/>
          <w:sz w:val="19"/>
          <w:szCs w:val="19"/>
          <w:color w:val="auto"/>
        </w:rPr>
        <w:t>At June 30, 2012, we had $419.2 million in cash and</w:t>
      </w:r>
      <w:r>
        <w:rPr>
          <w:rFonts w:ascii="Arial" w:cs="Arial" w:eastAsia="Arial" w:hAnsi="Arial"/>
          <w:sz w:val="19"/>
          <w:szCs w:val="19"/>
          <w:i w:val="1"/>
          <w:iCs w:val="1"/>
          <w:color w:val="auto"/>
        </w:rPr>
        <w:t xml:space="preserve"> </w:t>
      </w:r>
      <w:r>
        <w:rPr>
          <w:rFonts w:ascii="Arial" w:cs="Arial" w:eastAsia="Arial" w:hAnsi="Arial"/>
          <w:sz w:val="19"/>
          <w:szCs w:val="19"/>
          <w:color w:val="auto"/>
        </w:rPr>
        <w:t>cash equivalents and $471.9 million in short-term and long-term investments. We have historically invested these amounts in U.S. Treasury bills, U.S. government agency securities and municipal securities (which may have an auction reset feature), corporate notes and bonds, commercial paper and money market funds meeting certain criteria. We maintain our investments for cash management purposes and not for purposes of speculation. Our risk management policies emphasize credit quality (primarily based on short-term ratings by nationally recognized statistical organizations) in selecting and maintaining our investments. We regularly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assess market risk of our investments and believe our current policies and investment practices adequately limit those risks. However, certain of these investments are subject to general credit, liquidity, market and interest rate risks. These market risks associated with our investment portfolio may have an adverse effect on our future results of operations, liquidity and financial condition.</w:t>
      </w:r>
    </w:p>
    <w:p>
      <w:pPr>
        <w:spacing w:after="0" w:line="21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We believe that cash available from operations, including our cash resources and the revolving line of credit, will be sufficient for our working capital needs, including purchase commitments for raw materials and inventory, increases in accounts receivable, payments of tax liabilities, expansion and development needs, purchases of shares of our common stock, as well as any purchases of capital assets, equipment and properties, through at least the next 12 months. Based on our current plans, at this time we estimate that capital expenditures are likely to be less than $50.0 million through June 30, 2013. However, future business opportunities may cause a change in this estimate.</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following represents a summary of the Company’s contractual commitments and related scheduled maturities as of</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June 30, 2012:</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4720" w:type="dxa"/>
            <w:vAlign w:val="bottom"/>
            <w:tcBorders>
              <w:bottom w:val="single" w:sz="8" w:color="auto"/>
            </w:tcBorders>
            <w:gridSpan w:val="8"/>
          </w:tcPr>
          <w:p>
            <w:pPr>
              <w:ind w:left="440"/>
              <w:spacing w:after="0"/>
              <w:rPr>
                <w:sz w:val="20"/>
                <w:szCs w:val="20"/>
                <w:color w:val="auto"/>
              </w:rPr>
            </w:pPr>
            <w:r>
              <w:rPr>
                <w:rFonts w:ascii="Arial" w:cs="Arial" w:eastAsia="Arial" w:hAnsi="Arial"/>
                <w:sz w:val="22"/>
                <w:szCs w:val="22"/>
                <w:color w:val="auto"/>
              </w:rPr>
              <w:t>Payments due by period (in thousands)</w:t>
            </w: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center"/>
              <w:ind w:right="460"/>
              <w:spacing w:after="0" w:line="216" w:lineRule="exact"/>
              <w:rPr>
                <w:sz w:val="20"/>
                <w:szCs w:val="20"/>
                <w:color w:val="auto"/>
              </w:rPr>
            </w:pPr>
            <w:r>
              <w:rPr>
                <w:rFonts w:ascii="Arial" w:cs="Arial" w:eastAsia="Arial" w:hAnsi="Arial"/>
                <w:sz w:val="22"/>
                <w:szCs w:val="22"/>
                <w:color w:val="auto"/>
                <w:w w:val="85"/>
              </w:rPr>
              <w:t>Less than</w:t>
            </w:r>
          </w:p>
        </w:tc>
        <w:tc>
          <w:tcPr>
            <w:tcW w:w="380" w:type="dxa"/>
            <w:vAlign w:val="bottom"/>
          </w:tcPr>
          <w:p>
            <w:pPr>
              <w:spacing w:after="0"/>
              <w:rPr>
                <w:sz w:val="18"/>
                <w:szCs w:val="18"/>
                <w:color w:val="auto"/>
              </w:rPr>
            </w:pPr>
          </w:p>
        </w:tc>
        <w:tc>
          <w:tcPr>
            <w:tcW w:w="1120" w:type="dxa"/>
            <w:vAlign w:val="bottom"/>
          </w:tcPr>
          <w:p>
            <w:pPr>
              <w:jc w:val="right"/>
              <w:ind w:right="492"/>
              <w:spacing w:after="0" w:line="216" w:lineRule="exact"/>
              <w:rPr>
                <w:sz w:val="20"/>
                <w:szCs w:val="20"/>
                <w:color w:val="auto"/>
              </w:rPr>
            </w:pPr>
            <w:r>
              <w:rPr>
                <w:rFonts w:ascii="Arial" w:cs="Arial" w:eastAsia="Arial" w:hAnsi="Arial"/>
                <w:sz w:val="22"/>
                <w:szCs w:val="22"/>
                <w:color w:val="auto"/>
              </w:rPr>
              <w:t>1-3</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ind w:right="492"/>
              <w:spacing w:after="0" w:line="216" w:lineRule="exact"/>
              <w:rPr>
                <w:sz w:val="20"/>
                <w:szCs w:val="20"/>
                <w:color w:val="auto"/>
              </w:rPr>
            </w:pPr>
            <w:r>
              <w:rPr>
                <w:rFonts w:ascii="Arial" w:cs="Arial" w:eastAsia="Arial" w:hAnsi="Arial"/>
                <w:sz w:val="22"/>
                <w:szCs w:val="22"/>
                <w:color w:val="auto"/>
              </w:rPr>
              <w:t>3-5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192"/>
              <w:spacing w:after="0" w:line="216" w:lineRule="exact"/>
              <w:rPr>
                <w:sz w:val="20"/>
                <w:szCs w:val="20"/>
                <w:color w:val="auto"/>
              </w:rPr>
            </w:pPr>
            <w:r>
              <w:rPr>
                <w:rFonts w:ascii="Arial" w:cs="Arial" w:eastAsia="Arial" w:hAnsi="Arial"/>
                <w:sz w:val="22"/>
                <w:szCs w:val="22"/>
                <w:color w:val="auto"/>
                <w:w w:val="90"/>
              </w:rPr>
              <w:t>More than</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3220" w:type="dxa"/>
            <w:vAlign w:val="bottom"/>
            <w:gridSpan w:val="2"/>
          </w:tcPr>
          <w:p>
            <w:pPr>
              <w:ind w:left="1020"/>
              <w:spacing w:after="0"/>
              <w:rPr>
                <w:sz w:val="20"/>
                <w:szCs w:val="20"/>
                <w:color w:val="auto"/>
              </w:rPr>
            </w:pPr>
            <w:r>
              <w:rPr>
                <w:rFonts w:ascii="Arial" w:cs="Arial" w:eastAsia="Arial" w:hAnsi="Arial"/>
                <w:sz w:val="22"/>
                <w:szCs w:val="22"/>
                <w:color w:val="auto"/>
              </w:rPr>
              <w:t>Obligations</w:t>
            </w:r>
          </w:p>
        </w:tc>
        <w:tc>
          <w:tcPr>
            <w:tcW w:w="380" w:type="dxa"/>
            <w:vAlign w:val="bottom"/>
          </w:tcPr>
          <w:p>
            <w:pPr>
              <w:spacing w:after="0"/>
              <w:rPr>
                <w:sz w:val="23"/>
                <w:szCs w:val="23"/>
                <w:color w:val="auto"/>
              </w:rPr>
            </w:pPr>
          </w:p>
        </w:tc>
        <w:tc>
          <w:tcPr>
            <w:tcW w:w="1320" w:type="dxa"/>
            <w:vAlign w:val="bottom"/>
            <w:gridSpan w:val="2"/>
          </w:tcPr>
          <w:p>
            <w:pPr>
              <w:ind w:left="160"/>
              <w:spacing w:after="0"/>
              <w:rPr>
                <w:sz w:val="20"/>
                <w:szCs w:val="20"/>
                <w:color w:val="auto"/>
              </w:rPr>
            </w:pPr>
            <w:r>
              <w:rPr>
                <w:rFonts w:ascii="Arial" w:cs="Arial" w:eastAsia="Arial" w:hAnsi="Arial"/>
                <w:sz w:val="22"/>
                <w:szCs w:val="22"/>
                <w:color w:val="auto"/>
              </w:rPr>
              <w:t>Total</w:t>
            </w:r>
          </w:p>
        </w:tc>
        <w:tc>
          <w:tcPr>
            <w:tcW w:w="280" w:type="dxa"/>
            <w:vAlign w:val="bottom"/>
          </w:tcPr>
          <w:p>
            <w:pPr>
              <w:spacing w:after="0"/>
              <w:rPr>
                <w:sz w:val="23"/>
                <w:szCs w:val="23"/>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22"/>
                <w:szCs w:val="22"/>
                <w:color w:val="auto"/>
                <w:w w:val="88"/>
              </w:rPr>
              <w:t>1 year</w:t>
            </w:r>
          </w:p>
        </w:tc>
        <w:tc>
          <w:tcPr>
            <w:tcW w:w="380" w:type="dxa"/>
            <w:vAlign w:val="bottom"/>
          </w:tcPr>
          <w:p>
            <w:pPr>
              <w:spacing w:after="0"/>
              <w:rPr>
                <w:sz w:val="23"/>
                <w:szCs w:val="23"/>
                <w:color w:val="auto"/>
              </w:rPr>
            </w:pPr>
          </w:p>
        </w:tc>
        <w:tc>
          <w:tcPr>
            <w:tcW w:w="1280" w:type="dxa"/>
            <w:vAlign w:val="bottom"/>
            <w:gridSpan w:val="2"/>
          </w:tcPr>
          <w:p>
            <w:pPr>
              <w:ind w:left="140"/>
              <w:spacing w:after="0"/>
              <w:rPr>
                <w:sz w:val="20"/>
                <w:szCs w:val="20"/>
                <w:color w:val="auto"/>
              </w:rPr>
            </w:pPr>
            <w:r>
              <w:rPr>
                <w:rFonts w:ascii="Arial" w:cs="Arial" w:eastAsia="Arial" w:hAnsi="Arial"/>
                <w:sz w:val="22"/>
                <w:szCs w:val="22"/>
                <w:color w:val="auto"/>
              </w:rPr>
              <w:t>years</w:t>
            </w:r>
          </w:p>
        </w:tc>
        <w:tc>
          <w:tcPr>
            <w:tcW w:w="380" w:type="dxa"/>
            <w:vAlign w:val="bottom"/>
          </w:tcPr>
          <w:p>
            <w:pPr>
              <w:spacing w:after="0"/>
              <w:rPr>
                <w:sz w:val="23"/>
                <w:szCs w:val="23"/>
                <w:color w:val="auto"/>
              </w:rPr>
            </w:pPr>
          </w:p>
        </w:tc>
        <w:tc>
          <w:tcPr>
            <w:tcW w:w="1280" w:type="dxa"/>
            <w:vAlign w:val="bottom"/>
            <w:gridSpan w:val="2"/>
          </w:tcPr>
          <w:p>
            <w:pPr>
              <w:ind w:left="140"/>
              <w:spacing w:after="0"/>
              <w:rPr>
                <w:sz w:val="20"/>
                <w:szCs w:val="20"/>
                <w:color w:val="auto"/>
              </w:rPr>
            </w:pPr>
            <w:r>
              <w:rPr>
                <w:rFonts w:ascii="Arial" w:cs="Arial" w:eastAsia="Arial" w:hAnsi="Arial"/>
                <w:sz w:val="22"/>
                <w:szCs w:val="22"/>
                <w:color w:val="auto"/>
              </w:rPr>
              <w:t>years</w:t>
            </w:r>
          </w:p>
        </w:tc>
        <w:tc>
          <w:tcPr>
            <w:tcW w:w="260" w:type="dxa"/>
            <w:vAlign w:val="bottom"/>
          </w:tcPr>
          <w:p>
            <w:pPr>
              <w:spacing w:after="0"/>
              <w:rPr>
                <w:sz w:val="23"/>
                <w:szCs w:val="23"/>
                <w:color w:val="auto"/>
              </w:rPr>
            </w:pPr>
          </w:p>
        </w:tc>
        <w:tc>
          <w:tcPr>
            <w:tcW w:w="1220" w:type="dxa"/>
            <w:vAlign w:val="bottom"/>
          </w:tcPr>
          <w:p>
            <w:pPr>
              <w:jc w:val="right"/>
              <w:ind w:right="332"/>
              <w:spacing w:after="0"/>
              <w:rPr>
                <w:sz w:val="20"/>
                <w:szCs w:val="20"/>
                <w:color w:val="auto"/>
              </w:rPr>
            </w:pPr>
            <w:r>
              <w:rPr>
                <w:rFonts w:ascii="Arial" w:cs="Arial" w:eastAsia="Arial" w:hAnsi="Arial"/>
                <w:sz w:val="22"/>
                <w:szCs w:val="22"/>
                <w:color w:val="auto"/>
              </w:rPr>
              <w:t>5 years</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0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220" w:type="dxa"/>
            <w:vAlign w:val="bottom"/>
            <w:gridSpan w:val="2"/>
            <w:shd w:val="clear" w:color="auto" w:fill="CCEEFF"/>
          </w:tcPr>
          <w:p>
            <w:pPr>
              <w:spacing w:after="0" w:line="243" w:lineRule="exact"/>
              <w:rPr>
                <w:sz w:val="20"/>
                <w:szCs w:val="20"/>
                <w:color w:val="auto"/>
              </w:rPr>
            </w:pPr>
            <w:r>
              <w:rPr>
                <w:rFonts w:ascii="Arial" w:cs="Arial" w:eastAsia="Arial" w:hAnsi="Arial"/>
                <w:sz w:val="22"/>
                <w:szCs w:val="22"/>
                <w:color w:val="auto"/>
              </w:rPr>
              <w:t>Contractual Obligations¹</w:t>
            </w:r>
          </w:p>
        </w:tc>
        <w:tc>
          <w:tcPr>
            <w:tcW w:w="380" w:type="dxa"/>
            <w:vAlign w:val="bottom"/>
            <w:shd w:val="clear" w:color="auto" w:fill="CCEEFF"/>
          </w:tcPr>
          <w:p>
            <w:pPr>
              <w:jc w:val="right"/>
              <w:ind w:right="52"/>
              <w:spacing w:after="0" w:line="243" w:lineRule="exact"/>
              <w:rPr>
                <w:sz w:val="20"/>
                <w:szCs w:val="20"/>
                <w:color w:val="auto"/>
              </w:rPr>
            </w:pPr>
            <w:r>
              <w:rPr>
                <w:rFonts w:ascii="Arial" w:cs="Arial" w:eastAsia="Arial" w:hAnsi="Arial"/>
                <w:sz w:val="22"/>
                <w:szCs w:val="22"/>
                <w:color w:val="auto"/>
              </w:rPr>
              <w:t>$</w:t>
            </w:r>
          </w:p>
        </w:tc>
        <w:tc>
          <w:tcPr>
            <w:tcW w:w="11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88,803</w:t>
            </w: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w:t>
            </w:r>
          </w:p>
        </w:tc>
        <w:tc>
          <w:tcPr>
            <w:tcW w:w="1240" w:type="dxa"/>
            <w:vAlign w:val="bottom"/>
            <w:shd w:val="clear" w:color="auto" w:fill="CCEEFF"/>
          </w:tcPr>
          <w:p>
            <w:pPr>
              <w:jc w:val="right"/>
              <w:ind w:right="12"/>
              <w:spacing w:after="0" w:line="243" w:lineRule="exact"/>
              <w:rPr>
                <w:sz w:val="20"/>
                <w:szCs w:val="20"/>
                <w:color w:val="auto"/>
              </w:rPr>
            </w:pPr>
            <w:r>
              <w:rPr>
                <w:rFonts w:ascii="Arial" w:cs="Arial" w:eastAsia="Arial" w:hAnsi="Arial"/>
                <w:sz w:val="22"/>
                <w:szCs w:val="22"/>
                <w:color w:val="auto"/>
              </w:rPr>
              <w:t>42,707</w:t>
            </w:r>
          </w:p>
        </w:tc>
        <w:tc>
          <w:tcPr>
            <w:tcW w:w="16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52"/>
              <w:spacing w:after="0" w:line="243" w:lineRule="exact"/>
              <w:rPr>
                <w:sz w:val="20"/>
                <w:szCs w:val="20"/>
                <w:color w:val="auto"/>
              </w:rPr>
            </w:pPr>
            <w:r>
              <w:rPr>
                <w:rFonts w:ascii="Arial" w:cs="Arial" w:eastAsia="Arial" w:hAnsi="Arial"/>
                <w:sz w:val="22"/>
                <w:szCs w:val="22"/>
                <w:color w:val="auto"/>
              </w:rPr>
              <w:t>$</w:t>
            </w:r>
          </w:p>
        </w:tc>
        <w:tc>
          <w:tcPr>
            <w:tcW w:w="112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45,679</w:t>
            </w:r>
          </w:p>
        </w:tc>
        <w:tc>
          <w:tcPr>
            <w:tcW w:w="16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52"/>
              <w:spacing w:after="0" w:line="243" w:lineRule="exact"/>
              <w:rPr>
                <w:sz w:val="20"/>
                <w:szCs w:val="20"/>
                <w:color w:val="auto"/>
              </w:rPr>
            </w:pPr>
            <w:r>
              <w:rPr>
                <w:rFonts w:ascii="Arial" w:cs="Arial" w:eastAsia="Arial" w:hAnsi="Arial"/>
                <w:sz w:val="22"/>
                <w:szCs w:val="22"/>
                <w:color w:val="auto"/>
              </w:rPr>
              <w:t>$</w:t>
            </w:r>
          </w:p>
        </w:tc>
        <w:tc>
          <w:tcPr>
            <w:tcW w:w="1120" w:type="dxa"/>
            <w:vAlign w:val="bottom"/>
            <w:shd w:val="clear" w:color="auto" w:fill="CCEEFF"/>
          </w:tcPr>
          <w:p>
            <w:pPr>
              <w:jc w:val="right"/>
              <w:ind w:right="12"/>
              <w:spacing w:after="0" w:line="243" w:lineRule="exact"/>
              <w:rPr>
                <w:sz w:val="20"/>
                <w:szCs w:val="20"/>
                <w:color w:val="auto"/>
              </w:rPr>
            </w:pPr>
            <w:r>
              <w:rPr>
                <w:rFonts w:ascii="Arial" w:cs="Arial" w:eastAsia="Arial" w:hAnsi="Arial"/>
                <w:sz w:val="22"/>
                <w:szCs w:val="22"/>
                <w:color w:val="auto"/>
              </w:rPr>
              <w:t>417</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w:t>
            </w:r>
          </w:p>
        </w:tc>
        <w:tc>
          <w:tcPr>
            <w:tcW w:w="122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20" w:type="dxa"/>
            <w:vAlign w:val="bottom"/>
            <w:gridSpan w:val="2"/>
          </w:tcPr>
          <w:p>
            <w:pPr>
              <w:spacing w:after="0" w:line="243" w:lineRule="exact"/>
              <w:rPr>
                <w:sz w:val="20"/>
                <w:szCs w:val="20"/>
                <w:color w:val="auto"/>
              </w:rPr>
            </w:pPr>
            <w:r>
              <w:rPr>
                <w:rFonts w:ascii="Arial" w:cs="Arial" w:eastAsia="Arial" w:hAnsi="Arial"/>
                <w:sz w:val="22"/>
                <w:szCs w:val="22"/>
                <w:color w:val="auto"/>
              </w:rPr>
              <w:t>Capital Leases</w:t>
            </w:r>
          </w:p>
        </w:tc>
        <w:tc>
          <w:tcPr>
            <w:tcW w:w="380" w:type="dxa"/>
            <w:vAlign w:val="bottom"/>
          </w:tcPr>
          <w:p>
            <w:pPr>
              <w:spacing w:after="0"/>
              <w:rPr>
                <w:sz w:val="21"/>
                <w:szCs w:val="21"/>
                <w:color w:val="auto"/>
              </w:rPr>
            </w:pPr>
          </w:p>
        </w:tc>
        <w:tc>
          <w:tcPr>
            <w:tcW w:w="1140" w:type="dxa"/>
            <w:vAlign w:val="bottom"/>
          </w:tcPr>
          <w:p>
            <w:pPr>
              <w:jc w:val="right"/>
              <w:spacing w:after="0" w:line="243" w:lineRule="exact"/>
              <w:rPr>
                <w:sz w:val="20"/>
                <w:szCs w:val="20"/>
                <w:color w:val="auto"/>
              </w:rPr>
            </w:pPr>
            <w:r>
              <w:rPr>
                <w:rFonts w:ascii="Arial" w:cs="Arial" w:eastAsia="Arial" w:hAnsi="Arial"/>
                <w:sz w:val="22"/>
                <w:szCs w:val="22"/>
                <w:color w:val="auto"/>
              </w:rPr>
              <w:t>1,096</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12"/>
              <w:spacing w:after="0" w:line="243" w:lineRule="exact"/>
              <w:rPr>
                <w:sz w:val="20"/>
                <w:szCs w:val="20"/>
                <w:color w:val="auto"/>
              </w:rPr>
            </w:pPr>
            <w:r>
              <w:rPr>
                <w:rFonts w:ascii="Arial" w:cs="Arial" w:eastAsia="Arial" w:hAnsi="Arial"/>
                <w:sz w:val="22"/>
                <w:szCs w:val="22"/>
                <w:color w:val="auto"/>
              </w:rPr>
              <w:t>1,096</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jc w:val="right"/>
              <w:ind w:right="12"/>
              <w:spacing w:after="0" w:line="243" w:lineRule="exact"/>
              <w:rPr>
                <w:sz w:val="20"/>
                <w:szCs w:val="20"/>
                <w:color w:val="auto"/>
              </w:rPr>
            </w:pPr>
            <w:r>
              <w:rPr>
                <w:rFonts w:ascii="Arial" w:cs="Arial" w:eastAsia="Arial" w:hAnsi="Arial"/>
                <w:sz w:val="22"/>
                <w:szCs w:val="22"/>
                <w:color w:val="auto"/>
              </w:rPr>
              <w:t>-</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20" w:type="dxa"/>
            <w:vAlign w:val="bottom"/>
            <w:gridSpan w:val="2"/>
            <w:shd w:val="clear" w:color="auto" w:fill="CCEEFF"/>
          </w:tcPr>
          <w:p>
            <w:pPr>
              <w:spacing w:after="0" w:line="243" w:lineRule="exact"/>
              <w:rPr>
                <w:sz w:val="20"/>
                <w:szCs w:val="20"/>
                <w:color w:val="auto"/>
              </w:rPr>
            </w:pPr>
            <w:r>
              <w:rPr>
                <w:rFonts w:ascii="Arial" w:cs="Arial" w:eastAsia="Arial" w:hAnsi="Arial"/>
                <w:sz w:val="22"/>
                <w:szCs w:val="22"/>
                <w:color w:val="auto"/>
              </w:rPr>
              <w:t>Operating Leases</w:t>
            </w: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16,641</w:t>
            </w: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2"/>
              <w:spacing w:after="0" w:line="243" w:lineRule="exact"/>
              <w:rPr>
                <w:sz w:val="20"/>
                <w:szCs w:val="20"/>
                <w:color w:val="auto"/>
              </w:rPr>
            </w:pPr>
            <w:r>
              <w:rPr>
                <w:rFonts w:ascii="Arial" w:cs="Arial" w:eastAsia="Arial" w:hAnsi="Arial"/>
                <w:sz w:val="22"/>
                <w:szCs w:val="22"/>
                <w:color w:val="auto"/>
              </w:rPr>
              <w:t>3,996</w:t>
            </w:r>
          </w:p>
        </w:tc>
        <w:tc>
          <w:tcPr>
            <w:tcW w:w="1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9,811</w:t>
            </w:r>
          </w:p>
        </w:tc>
        <w:tc>
          <w:tcPr>
            <w:tcW w:w="1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2"/>
              <w:spacing w:after="0" w:line="243" w:lineRule="exact"/>
              <w:rPr>
                <w:sz w:val="20"/>
                <w:szCs w:val="20"/>
                <w:color w:val="auto"/>
              </w:rPr>
            </w:pPr>
            <w:r>
              <w:rPr>
                <w:rFonts w:ascii="Arial" w:cs="Arial" w:eastAsia="Arial" w:hAnsi="Arial"/>
                <w:sz w:val="22"/>
                <w:szCs w:val="22"/>
                <w:color w:val="auto"/>
              </w:rPr>
              <w:t>2,347</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487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20" w:type="dxa"/>
            <w:vAlign w:val="bottom"/>
            <w:tcBorders>
              <w:bottom w:val="single" w:sz="8" w:color="CCEEFF"/>
            </w:tcBorders>
            <w:gridSpan w:val="2"/>
          </w:tcPr>
          <w:p>
            <w:pPr>
              <w:spacing w:after="0" w:line="243" w:lineRule="exact"/>
              <w:rPr>
                <w:sz w:val="20"/>
                <w:szCs w:val="20"/>
                <w:color w:val="auto"/>
              </w:rPr>
            </w:pPr>
            <w:r>
              <w:rPr>
                <w:rFonts w:ascii="Arial" w:cs="Arial" w:eastAsia="Arial" w:hAnsi="Arial"/>
                <w:sz w:val="22"/>
                <w:szCs w:val="22"/>
                <w:color w:val="auto"/>
              </w:rPr>
              <w:t>Purchase Commitments²</w:t>
            </w:r>
          </w:p>
        </w:tc>
        <w:tc>
          <w:tcPr>
            <w:tcW w:w="3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50,412</w:t>
            </w:r>
          </w:p>
        </w:tc>
        <w:tc>
          <w:tcPr>
            <w:tcW w:w="1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2"/>
              <w:spacing w:after="0" w:line="243" w:lineRule="exact"/>
              <w:rPr>
                <w:sz w:val="20"/>
                <w:szCs w:val="20"/>
                <w:color w:val="auto"/>
              </w:rPr>
            </w:pPr>
            <w:r>
              <w:rPr>
                <w:rFonts w:ascii="Arial" w:cs="Arial" w:eastAsia="Arial" w:hAnsi="Arial"/>
                <w:sz w:val="22"/>
                <w:szCs w:val="22"/>
                <w:color w:val="auto"/>
              </w:rPr>
              <w:t>50,412</w:t>
            </w:r>
          </w:p>
        </w:tc>
        <w:tc>
          <w:tcPr>
            <w:tcW w:w="16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w:t>
            </w:r>
          </w:p>
        </w:tc>
        <w:tc>
          <w:tcPr>
            <w:tcW w:w="16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2"/>
              <w:spacing w:after="0" w:line="243" w:lineRule="exact"/>
              <w:rPr>
                <w:sz w:val="20"/>
                <w:szCs w:val="20"/>
                <w:color w:val="auto"/>
              </w:rPr>
            </w:pPr>
            <w:r>
              <w:rPr>
                <w:rFonts w:ascii="Arial" w:cs="Arial" w:eastAsia="Arial" w:hAnsi="Arial"/>
                <w:sz w:val="22"/>
                <w:szCs w:val="22"/>
                <w:color w:val="auto"/>
              </w:rPr>
              <w:t>-</w:t>
            </w:r>
          </w:p>
        </w:tc>
        <w:tc>
          <w:tcPr>
            <w:tcW w:w="1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52"/>
              <w:spacing w:after="0" w:line="237" w:lineRule="exact"/>
              <w:rPr>
                <w:sz w:val="20"/>
                <w:szCs w:val="20"/>
                <w:color w:val="auto"/>
              </w:rPr>
            </w:pPr>
            <w:r>
              <w:rPr>
                <w:rFonts w:ascii="Arial" w:cs="Arial" w:eastAsia="Arial" w:hAnsi="Arial"/>
                <w:sz w:val="22"/>
                <w:szCs w:val="22"/>
                <w:color w:val="auto"/>
              </w:rPr>
              <w:t>$</w:t>
            </w:r>
          </w:p>
        </w:tc>
        <w:tc>
          <w:tcPr>
            <w:tcW w:w="1140" w:type="dxa"/>
            <w:vAlign w:val="bottom"/>
            <w:tcBorders>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rPr>
              <w:t>156,952</w:t>
            </w:r>
          </w:p>
        </w:tc>
        <w:tc>
          <w:tcPr>
            <w:tcW w:w="1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rPr>
              <w:t>$</w:t>
            </w:r>
          </w:p>
        </w:tc>
        <w:tc>
          <w:tcPr>
            <w:tcW w:w="1240" w:type="dxa"/>
            <w:vAlign w:val="bottom"/>
            <w:tcBorders>
              <w:bottom w:val="single" w:sz="8" w:color="auto"/>
            </w:tcBorders>
            <w:shd w:val="clear" w:color="auto" w:fill="CCEEFF"/>
          </w:tcPr>
          <w:p>
            <w:pPr>
              <w:jc w:val="right"/>
              <w:ind w:right="12"/>
              <w:spacing w:after="0" w:line="237" w:lineRule="exact"/>
              <w:rPr>
                <w:sz w:val="20"/>
                <w:szCs w:val="20"/>
                <w:color w:val="auto"/>
              </w:rPr>
            </w:pPr>
            <w:r>
              <w:rPr>
                <w:rFonts w:ascii="Arial" w:cs="Arial" w:eastAsia="Arial" w:hAnsi="Arial"/>
                <w:sz w:val="22"/>
                <w:szCs w:val="22"/>
                <w:color w:val="auto"/>
              </w:rPr>
              <w:t>98,211</w:t>
            </w:r>
          </w:p>
        </w:tc>
        <w:tc>
          <w:tcPr>
            <w:tcW w:w="1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52"/>
              <w:spacing w:after="0" w:line="237" w:lineRule="exact"/>
              <w:rPr>
                <w:sz w:val="20"/>
                <w:szCs w:val="20"/>
                <w:color w:val="auto"/>
              </w:rPr>
            </w:pPr>
            <w:r>
              <w:rPr>
                <w:rFonts w:ascii="Arial" w:cs="Arial" w:eastAsia="Arial" w:hAnsi="Arial"/>
                <w:sz w:val="22"/>
                <w:szCs w:val="22"/>
                <w:color w:val="auto"/>
              </w:rPr>
              <w:t>$</w:t>
            </w:r>
          </w:p>
        </w:tc>
        <w:tc>
          <w:tcPr>
            <w:tcW w:w="1120" w:type="dxa"/>
            <w:vAlign w:val="bottom"/>
            <w:tcBorders>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rPr>
              <w:t>55,490</w:t>
            </w:r>
          </w:p>
        </w:tc>
        <w:tc>
          <w:tcPr>
            <w:tcW w:w="1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52"/>
              <w:spacing w:after="0" w:line="237" w:lineRule="exact"/>
              <w:rPr>
                <w:sz w:val="20"/>
                <w:szCs w:val="20"/>
                <w:color w:val="auto"/>
              </w:rPr>
            </w:pPr>
            <w:r>
              <w:rPr>
                <w:rFonts w:ascii="Arial" w:cs="Arial" w:eastAsia="Arial" w:hAnsi="Arial"/>
                <w:sz w:val="22"/>
                <w:szCs w:val="22"/>
                <w:color w:val="auto"/>
              </w:rPr>
              <w:t>$</w:t>
            </w:r>
          </w:p>
        </w:tc>
        <w:tc>
          <w:tcPr>
            <w:tcW w:w="1120" w:type="dxa"/>
            <w:vAlign w:val="bottom"/>
            <w:tcBorders>
              <w:bottom w:val="single" w:sz="8" w:color="auto"/>
            </w:tcBorders>
            <w:shd w:val="clear" w:color="auto" w:fill="CCEEFF"/>
          </w:tcPr>
          <w:p>
            <w:pPr>
              <w:jc w:val="right"/>
              <w:ind w:right="12"/>
              <w:spacing w:after="0" w:line="237" w:lineRule="exact"/>
              <w:rPr>
                <w:sz w:val="20"/>
                <w:szCs w:val="20"/>
                <w:color w:val="auto"/>
              </w:rPr>
            </w:pPr>
            <w:r>
              <w:rPr>
                <w:rFonts w:ascii="Arial" w:cs="Arial" w:eastAsia="Arial" w:hAnsi="Arial"/>
                <w:sz w:val="22"/>
                <w:szCs w:val="22"/>
                <w:color w:val="auto"/>
              </w:rPr>
              <w:t>2,764</w:t>
            </w:r>
          </w:p>
        </w:tc>
        <w:tc>
          <w:tcPr>
            <w:tcW w:w="1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rPr>
              <w:t>$</w:t>
            </w:r>
          </w:p>
        </w:tc>
        <w:tc>
          <w:tcPr>
            <w:tcW w:w="1220" w:type="dxa"/>
            <w:vAlign w:val="bottom"/>
            <w:tcBorders>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rPr>
              <w:t>487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¹Contractual obligations include our obligations related to sponsorships and other commitments.</w:t>
      </w:r>
    </w:p>
    <w:p>
      <w:pPr>
        <w:spacing w:after="0" w:line="233"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21"/>
          <w:szCs w:val="21"/>
          <w:color w:val="auto"/>
        </w:rPr>
        <w:t>²Purchase commitments include obligations made by us and our subsidiaries to various suppliers for raw materials used in the production of our products. These obligations vary in terms, but are generally satisfied within one year.</w:t>
      </w:r>
    </w:p>
    <w:p>
      <w:pPr>
        <w:spacing w:after="0" w:line="178" w:lineRule="exact"/>
        <w:rPr>
          <w:sz w:val="20"/>
          <w:szCs w:val="20"/>
          <w:color w:val="auto"/>
        </w:rPr>
      </w:pPr>
    </w:p>
    <w:p>
      <w:pPr>
        <w:jc w:val="both"/>
        <w:ind w:right="20" w:firstLine="648"/>
        <w:spacing w:after="0" w:line="252" w:lineRule="auto"/>
        <w:rPr>
          <w:sz w:val="20"/>
          <w:szCs w:val="20"/>
          <w:color w:val="auto"/>
        </w:rPr>
      </w:pPr>
      <w:r>
        <w:rPr>
          <w:rFonts w:ascii="Arial" w:cs="Arial" w:eastAsia="Arial" w:hAnsi="Arial"/>
          <w:sz w:val="21"/>
          <w:szCs w:val="21"/>
          <w:color w:val="auto"/>
        </w:rPr>
        <w:t>In addition, approximately $0.4 million of recognized tax benefits have been recorded as liabilities as of June 30, 2012. The recognized tax benefits decreased by $1.5 million in the six months ended June 30, 2012 due to the completion of the IRS audit of the 2008 and 2009 tax returns. We are uncertain as to if or when the remaining amounts may be settled. We have also recorded a liability for potential penalties and interest of $0.2 million as of June 30, 2012.</w:t>
      </w:r>
    </w:p>
    <w:p>
      <w:pPr>
        <w:spacing w:after="0" w:line="20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In March 2012, the Company acquired an approximately 75,425 square foot, free standing, three-story office building, including the real property thereunder and improvements thereon, located in Corona, CA for a purchase price of $9.7 million. The Company intends to complete the necessary improvements thereon and occupy the building as the Company’s new corporate headquarters at some time in the future.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Sales</w:t>
      </w: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table below discloses selected quarterly data regarding sales for the three- and six-months ended June 30, 2012 and 2011, respectively. Data from any one or more quarters or periods is not necessarily indicative of annual results or continuing trends.</w:t>
      </w:r>
    </w:p>
    <w:p>
      <w:pPr>
        <w:spacing w:after="0" w:line="21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Sales of beverages are expressed in unit case volume. A “unit case” means a unit of measurement equal to 192 U.S. fluid ounces of finished beverage (24 eight-ounce servings) or concentrate sold that will yield 192 U.S. fluid ounces of finished beverage. Unit case volume means the number of unit cases (or unit case equivalents) of beverages sold by us.</w:t>
      </w:r>
    </w:p>
    <w:p>
      <w:pPr>
        <w:sectPr>
          <w:pgSz w:w="11900" w:h="16838" w:orient="portrait"/>
          <w:cols w:equalWidth="0" w:num="1">
            <w:col w:w="11420"/>
          </w:cols>
          <w:pgMar w:left="240" w:top="361" w:right="239" w:bottom="0" w:gutter="0" w:footer="0" w:header="0"/>
        </w:sectPr>
      </w:pPr>
    </w:p>
    <w:bookmarkStart w:id="27" w:name="page28"/>
    <w:bookmarkEnd w:id="27"/>
    <w:p>
      <w:pPr>
        <w:jc w:val="both"/>
        <w:ind w:firstLine="648"/>
        <w:spacing w:after="0" w:line="274" w:lineRule="auto"/>
        <w:rPr>
          <w:sz w:val="20"/>
          <w:szCs w:val="20"/>
          <w:color w:val="auto"/>
        </w:rPr>
      </w:pPr>
      <w:r>
        <w:rPr>
          <w:rFonts w:ascii="Arial" w:cs="Arial" w:eastAsia="Arial" w:hAnsi="Arial"/>
          <w:sz w:val="19"/>
          <w:szCs w:val="19"/>
          <w:color w:val="auto"/>
        </w:rPr>
        <w:t>Our quarterly results of operations reflect seasonal trends that are primarily the result of increased demand in the warmer months of the year. It has been our experience that beverage sales tend to be lower during the first and fourth quarters of each fiscal year. Because the primary historical market for our products is California, which has a year-long temperate climate, the effect of seasonal fluctuations on quarterly results may have been mitigated; however, such fluctuations may become more pronounced with the expansion of the distribution of our products outside of California. In addition, our experience with our energy drink products suggests they are less seasonal than the seasonality expected from traditional beverages. Quarterly fluctuations may also be affected by other factors including the introduction of new products, the opening of new markets where temperature fluctuations are more pronounced, the addition of new bottlers, customers and distributors, changes in the sales mix of our products and changes in and/or increased advertising and promotional expenses.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120" w:type="dxa"/>
            <w:vAlign w:val="bottom"/>
            <w:gridSpan w:val="3"/>
          </w:tcPr>
          <w:p>
            <w:pPr>
              <w:spacing w:after="0"/>
              <w:rPr>
                <w:sz w:val="20"/>
                <w:szCs w:val="20"/>
                <w:color w:val="auto"/>
              </w:rPr>
            </w:pPr>
            <w:r>
              <w:rPr>
                <w:rFonts w:ascii="Arial" w:cs="Arial" w:eastAsia="Arial" w:hAnsi="Arial"/>
                <w:sz w:val="21"/>
                <w:szCs w:val="21"/>
                <w:color w:val="auto"/>
              </w:rPr>
              <w:t>(In thousands, except average</w:t>
            </w:r>
          </w:p>
        </w:tc>
        <w:tc>
          <w:tcPr>
            <w:tcW w:w="380" w:type="dxa"/>
            <w:vAlign w:val="bottom"/>
          </w:tcPr>
          <w:p>
            <w:pPr>
              <w:spacing w:after="0"/>
              <w:rPr>
                <w:sz w:val="21"/>
                <w:szCs w:val="21"/>
                <w:color w:val="auto"/>
              </w:rPr>
            </w:pPr>
          </w:p>
        </w:tc>
        <w:tc>
          <w:tcPr>
            <w:tcW w:w="3360" w:type="dxa"/>
            <w:vAlign w:val="bottom"/>
            <w:gridSpan w:val="5"/>
          </w:tcPr>
          <w:p>
            <w:pPr>
              <w:ind w:left="460"/>
              <w:spacing w:after="0"/>
              <w:rPr>
                <w:sz w:val="20"/>
                <w:szCs w:val="20"/>
                <w:color w:val="auto"/>
              </w:rPr>
            </w:pPr>
            <w:r>
              <w:rPr>
                <w:rFonts w:ascii="Arial" w:cs="Arial" w:eastAsia="Arial" w:hAnsi="Arial"/>
                <w:sz w:val="21"/>
                <w:szCs w:val="21"/>
                <w:color w:val="auto"/>
              </w:rPr>
              <w:t>Three-Months Ended</w:t>
            </w:r>
          </w:p>
        </w:tc>
        <w:tc>
          <w:tcPr>
            <w:tcW w:w="400" w:type="dxa"/>
            <w:vAlign w:val="bottom"/>
          </w:tcPr>
          <w:p>
            <w:pPr>
              <w:spacing w:after="0"/>
              <w:rPr>
                <w:sz w:val="21"/>
                <w:szCs w:val="21"/>
                <w:color w:val="auto"/>
              </w:rPr>
            </w:pPr>
          </w:p>
        </w:tc>
        <w:tc>
          <w:tcPr>
            <w:tcW w:w="3000" w:type="dxa"/>
            <w:vAlign w:val="bottom"/>
            <w:gridSpan w:val="4"/>
          </w:tcPr>
          <w:p>
            <w:pPr>
              <w:jc w:val="right"/>
              <w:ind w:right="816"/>
              <w:spacing w:after="0"/>
              <w:rPr>
                <w:sz w:val="20"/>
                <w:szCs w:val="20"/>
                <w:color w:val="auto"/>
              </w:rPr>
            </w:pPr>
            <w:r>
              <w:rPr>
                <w:rFonts w:ascii="Arial" w:cs="Arial" w:eastAsia="Arial" w:hAnsi="Arial"/>
                <w:sz w:val="21"/>
                <w:szCs w:val="21"/>
                <w:color w:val="auto"/>
              </w:rPr>
              <w:t>Six-Months Ended</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100" w:type="dxa"/>
            <w:vAlign w:val="bottom"/>
            <w:gridSpan w:val="2"/>
          </w:tcPr>
          <w:p>
            <w:pPr>
              <w:ind w:left="160"/>
              <w:spacing w:after="0"/>
              <w:rPr>
                <w:sz w:val="20"/>
                <w:szCs w:val="20"/>
                <w:color w:val="auto"/>
              </w:rPr>
            </w:pPr>
            <w:r>
              <w:rPr>
                <w:rFonts w:ascii="Arial" w:cs="Arial" w:eastAsia="Arial" w:hAnsi="Arial"/>
                <w:sz w:val="21"/>
                <w:szCs w:val="21"/>
                <w:color w:val="auto"/>
              </w:rPr>
              <w:t>net sales per case)</w:t>
            </w:r>
          </w:p>
        </w:tc>
        <w:tc>
          <w:tcPr>
            <w:tcW w:w="380" w:type="dxa"/>
            <w:vAlign w:val="bottom"/>
          </w:tcPr>
          <w:p>
            <w:pPr>
              <w:spacing w:after="0"/>
              <w:rPr>
                <w:sz w:val="22"/>
                <w:szCs w:val="22"/>
                <w:color w:val="auto"/>
              </w:rPr>
            </w:pPr>
          </w:p>
        </w:tc>
        <w:tc>
          <w:tcPr>
            <w:tcW w:w="1880" w:type="dxa"/>
            <w:vAlign w:val="bottom"/>
            <w:gridSpan w:val="3"/>
          </w:tcPr>
          <w:p>
            <w:pPr>
              <w:jc w:val="right"/>
              <w:ind w:right="96"/>
              <w:spacing w:after="0"/>
              <w:rPr>
                <w:sz w:val="20"/>
                <w:szCs w:val="20"/>
                <w:color w:val="auto"/>
              </w:rPr>
            </w:pPr>
            <w:r>
              <w:rPr>
                <w:rFonts w:ascii="Arial" w:cs="Arial" w:eastAsia="Arial" w:hAnsi="Arial"/>
                <w:sz w:val="21"/>
                <w:szCs w:val="21"/>
                <w:color w:val="auto"/>
              </w:rPr>
              <w:t>June 30,</w:t>
            </w:r>
          </w:p>
        </w:tc>
        <w:tc>
          <w:tcPr>
            <w:tcW w:w="1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40" w:type="dxa"/>
            <w:vAlign w:val="bottom"/>
            <w:gridSpan w:val="3"/>
          </w:tcPr>
          <w:p>
            <w:pPr>
              <w:jc w:val="right"/>
              <w:ind w:right="96"/>
              <w:spacing w:after="0"/>
              <w:rPr>
                <w:sz w:val="20"/>
                <w:szCs w:val="20"/>
                <w:color w:val="auto"/>
              </w:rPr>
            </w:pPr>
            <w:r>
              <w:rPr>
                <w:rFonts w:ascii="Arial" w:cs="Arial" w:eastAsia="Arial" w:hAnsi="Arial"/>
                <w:sz w:val="21"/>
                <w:szCs w:val="21"/>
                <w:color w:val="auto"/>
              </w:rPr>
              <w:t>June 30,</w:t>
            </w: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476"/>
              <w:spacing w:after="0" w:line="237" w:lineRule="exact"/>
              <w:rPr>
                <w:sz w:val="20"/>
                <w:szCs w:val="20"/>
                <w:color w:val="auto"/>
              </w:rPr>
            </w:pPr>
            <w:r>
              <w:rPr>
                <w:rFonts w:ascii="Arial" w:cs="Arial" w:eastAsia="Arial" w:hAnsi="Arial"/>
                <w:sz w:val="21"/>
                <w:szCs w:val="21"/>
                <w:color w:val="auto"/>
              </w:rPr>
              <w:t>2012</w:t>
            </w:r>
          </w:p>
        </w:tc>
        <w:tc>
          <w:tcPr>
            <w:tcW w:w="300" w:type="dxa"/>
            <w:vAlign w:val="bottom"/>
            <w:tcBorders>
              <w:top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496"/>
              <w:spacing w:after="0" w:line="237" w:lineRule="exact"/>
              <w:rPr>
                <w:sz w:val="20"/>
                <w:szCs w:val="20"/>
                <w:color w:val="auto"/>
              </w:rPr>
            </w:pPr>
            <w:r>
              <w:rPr>
                <w:rFonts w:ascii="Arial" w:cs="Arial" w:eastAsia="Arial" w:hAnsi="Arial"/>
                <w:sz w:val="21"/>
                <w:szCs w:val="21"/>
                <w:color w:val="auto"/>
              </w:rPr>
              <w:t>2011</w:t>
            </w:r>
          </w:p>
        </w:tc>
        <w:tc>
          <w:tcPr>
            <w:tcW w:w="280" w:type="dxa"/>
            <w:vAlign w:val="bottom"/>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56"/>
              <w:spacing w:after="0" w:line="237" w:lineRule="exact"/>
              <w:rPr>
                <w:sz w:val="20"/>
                <w:szCs w:val="20"/>
                <w:color w:val="auto"/>
              </w:rPr>
            </w:pPr>
            <w:r>
              <w:rPr>
                <w:rFonts w:ascii="Arial" w:cs="Arial" w:eastAsia="Arial" w:hAnsi="Arial"/>
                <w:sz w:val="21"/>
                <w:szCs w:val="21"/>
                <w:color w:val="auto"/>
              </w:rPr>
              <w:t>2012</w:t>
            </w:r>
          </w:p>
        </w:tc>
        <w:tc>
          <w:tcPr>
            <w:tcW w:w="280" w:type="dxa"/>
            <w:vAlign w:val="bottom"/>
            <w:tcBorders>
              <w:top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6"/>
              <w:spacing w:after="0" w:line="237" w:lineRule="exact"/>
              <w:rPr>
                <w:sz w:val="20"/>
                <w:szCs w:val="20"/>
                <w:color w:val="auto"/>
              </w:rPr>
            </w:pPr>
            <w:r>
              <w:rPr>
                <w:rFonts w:ascii="Arial" w:cs="Arial" w:eastAsia="Arial" w:hAnsi="Arial"/>
                <w:sz w:val="21"/>
                <w:szCs w:val="21"/>
                <w:color w:val="auto"/>
              </w:rPr>
              <w:t>2011</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21"/>
                <w:szCs w:val="21"/>
                <w:color w:val="auto"/>
              </w:rPr>
              <w:t>Net sales</w:t>
            </w:r>
          </w:p>
        </w:tc>
        <w:tc>
          <w:tcPr>
            <w:tcW w:w="380" w:type="dxa"/>
            <w:vAlign w:val="bottom"/>
            <w:shd w:val="clear" w:color="auto" w:fill="CCEEFF"/>
          </w:tcPr>
          <w:p>
            <w:pPr>
              <w:jc w:val="right"/>
              <w:ind w:right="76"/>
              <w:spacing w:after="0"/>
              <w:rPr>
                <w:sz w:val="20"/>
                <w:szCs w:val="20"/>
                <w:color w:val="auto"/>
              </w:rPr>
            </w:pPr>
            <w:r>
              <w:rPr>
                <w:rFonts w:ascii="Arial" w:cs="Arial" w:eastAsia="Arial" w:hAnsi="Arial"/>
                <w:sz w:val="21"/>
                <w:szCs w:val="2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21"/>
                <w:szCs w:val="21"/>
                <w:color w:val="auto"/>
              </w:rPr>
              <w:t>592,640</w:t>
            </w:r>
          </w:p>
        </w:tc>
        <w:tc>
          <w:tcPr>
            <w:tcW w:w="3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76"/>
              <w:spacing w:after="0"/>
              <w:rPr>
                <w:sz w:val="20"/>
                <w:szCs w:val="20"/>
                <w:color w:val="auto"/>
              </w:rPr>
            </w:pPr>
            <w:r>
              <w:rPr>
                <w:rFonts w:ascii="Arial" w:cs="Arial" w:eastAsia="Arial" w:hAnsi="Arial"/>
                <w:sz w:val="21"/>
                <w:szCs w:val="2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21"/>
                <w:szCs w:val="21"/>
                <w:color w:val="auto"/>
              </w:rPr>
              <w:t>462,145</w:t>
            </w:r>
          </w:p>
        </w:tc>
        <w:tc>
          <w:tcPr>
            <w:tcW w:w="2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76"/>
              <w:spacing w:after="0"/>
              <w:rPr>
                <w:sz w:val="20"/>
                <w:szCs w:val="20"/>
                <w:color w:val="auto"/>
              </w:rPr>
            </w:pPr>
            <w:r>
              <w:rPr>
                <w:rFonts w:ascii="Arial" w:cs="Arial" w:eastAsia="Arial" w:hAnsi="Arial"/>
                <w:sz w:val="21"/>
                <w:szCs w:val="2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21"/>
                <w:szCs w:val="21"/>
                <w:color w:val="auto"/>
              </w:rPr>
              <w:t>1,047,245</w:t>
            </w:r>
          </w:p>
        </w:tc>
        <w:tc>
          <w:tcPr>
            <w:tcW w:w="2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76"/>
              <w:spacing w:after="0"/>
              <w:rPr>
                <w:sz w:val="20"/>
                <w:szCs w:val="20"/>
                <w:color w:val="auto"/>
              </w:rPr>
            </w:pPr>
            <w:r>
              <w:rPr>
                <w:rFonts w:ascii="Arial" w:cs="Arial" w:eastAsia="Arial" w:hAnsi="Arial"/>
                <w:sz w:val="21"/>
                <w:szCs w:val="2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21"/>
                <w:szCs w:val="21"/>
                <w:color w:val="auto"/>
              </w:rPr>
              <w:t>818,564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00" w:type="dxa"/>
            <w:vAlign w:val="bottom"/>
            <w:tcBorders>
              <w:bottom w:val="single" w:sz="8" w:color="CCEEFF"/>
            </w:tcBorders>
            <w:gridSpan w:val="2"/>
          </w:tcPr>
          <w:p>
            <w:pPr>
              <w:spacing w:after="0"/>
              <w:rPr>
                <w:sz w:val="20"/>
                <w:szCs w:val="20"/>
                <w:color w:val="auto"/>
              </w:rPr>
            </w:pPr>
            <w:r>
              <w:rPr>
                <w:rFonts w:ascii="Arial" w:cs="Arial" w:eastAsia="Arial" w:hAnsi="Arial"/>
                <w:sz w:val="21"/>
                <w:szCs w:val="21"/>
                <w:color w:val="auto"/>
              </w:rPr>
              <w:t>Case sales (192-ounce case equivalents)</w:t>
            </w: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57,525</w:t>
            </w:r>
          </w:p>
        </w:tc>
        <w:tc>
          <w:tcPr>
            <w:tcW w:w="3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44,272</w:t>
            </w:r>
          </w:p>
        </w:tc>
        <w:tc>
          <w:tcPr>
            <w:tcW w:w="2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101,921</w:t>
            </w:r>
          </w:p>
        </w:tc>
        <w:tc>
          <w:tcPr>
            <w:tcW w:w="2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78,954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Borders>
              <w:bottom w:val="single" w:sz="8" w:color="CCEEFF"/>
            </w:tcBorders>
            <w:gridSpan w:val="2"/>
            <w:shd w:val="clear" w:color="auto" w:fill="CCEEFF"/>
          </w:tcPr>
          <w:p>
            <w:pPr>
              <w:spacing w:after="0" w:line="237" w:lineRule="exact"/>
              <w:rPr>
                <w:sz w:val="20"/>
                <w:szCs w:val="20"/>
                <w:color w:val="auto"/>
              </w:rPr>
            </w:pPr>
            <w:r>
              <w:rPr>
                <w:rFonts w:ascii="Arial" w:cs="Arial" w:eastAsia="Arial" w:hAnsi="Arial"/>
                <w:sz w:val="21"/>
                <w:szCs w:val="21"/>
                <w:color w:val="auto"/>
              </w:rPr>
              <w:t>Average net sales per case</w:t>
            </w:r>
          </w:p>
        </w:tc>
        <w:tc>
          <w:tcPr>
            <w:tcW w:w="380" w:type="dxa"/>
            <w:vAlign w:val="bottom"/>
            <w:tcBorders>
              <w:bottom w:val="single" w:sz="8" w:color="auto"/>
            </w:tcBorders>
            <w:shd w:val="clear" w:color="auto" w:fill="CCEEFF"/>
          </w:tcPr>
          <w:p>
            <w:pPr>
              <w:jc w:val="right"/>
              <w:ind w:right="76"/>
              <w:spacing w:after="0" w:line="237" w:lineRule="exact"/>
              <w:rPr>
                <w:sz w:val="20"/>
                <w:szCs w:val="20"/>
                <w:color w:val="auto"/>
              </w:rPr>
            </w:pPr>
            <w:r>
              <w:rPr>
                <w:rFonts w:ascii="Arial" w:cs="Arial" w:eastAsia="Arial" w:hAnsi="Arial"/>
                <w:sz w:val="21"/>
                <w:szCs w:val="21"/>
                <w:color w:val="auto"/>
              </w:rPr>
              <w:t>$</w:t>
            </w:r>
          </w:p>
        </w:tc>
        <w:tc>
          <w:tcPr>
            <w:tcW w:w="1200" w:type="dxa"/>
            <w:vAlign w:val="bottom"/>
            <w:tcBorders>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1"/>
                <w:szCs w:val="21"/>
                <w:color w:val="auto"/>
              </w:rPr>
              <w:t>10.30</w:t>
            </w:r>
          </w:p>
        </w:tc>
        <w:tc>
          <w:tcPr>
            <w:tcW w:w="3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76"/>
              <w:spacing w:after="0" w:line="237" w:lineRule="exact"/>
              <w:rPr>
                <w:sz w:val="20"/>
                <w:szCs w:val="20"/>
                <w:color w:val="auto"/>
              </w:rPr>
            </w:pPr>
            <w:r>
              <w:rPr>
                <w:rFonts w:ascii="Arial" w:cs="Arial" w:eastAsia="Arial" w:hAnsi="Arial"/>
                <w:sz w:val="21"/>
                <w:szCs w:val="21"/>
                <w:color w:val="auto"/>
              </w:rPr>
              <w:t>$</w:t>
            </w:r>
          </w:p>
        </w:tc>
        <w:tc>
          <w:tcPr>
            <w:tcW w:w="1200" w:type="dxa"/>
            <w:vAlign w:val="bottom"/>
            <w:tcBorders>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1"/>
                <w:szCs w:val="21"/>
                <w:color w:val="auto"/>
              </w:rPr>
              <w:t>10.44</w:t>
            </w:r>
          </w:p>
        </w:tc>
        <w:tc>
          <w:tcPr>
            <w:tcW w:w="2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76"/>
              <w:spacing w:after="0" w:line="237" w:lineRule="exact"/>
              <w:rPr>
                <w:sz w:val="20"/>
                <w:szCs w:val="20"/>
                <w:color w:val="auto"/>
              </w:rPr>
            </w:pPr>
            <w:r>
              <w:rPr>
                <w:rFonts w:ascii="Arial" w:cs="Arial" w:eastAsia="Arial" w:hAnsi="Arial"/>
                <w:sz w:val="21"/>
                <w:szCs w:val="21"/>
                <w:color w:val="auto"/>
              </w:rPr>
              <w:t>$</w:t>
            </w:r>
          </w:p>
        </w:tc>
        <w:tc>
          <w:tcPr>
            <w:tcW w:w="1160" w:type="dxa"/>
            <w:vAlign w:val="bottom"/>
            <w:tcBorders>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1"/>
                <w:szCs w:val="21"/>
                <w:color w:val="auto"/>
              </w:rPr>
              <w:t>10.28</w:t>
            </w:r>
          </w:p>
        </w:tc>
        <w:tc>
          <w:tcPr>
            <w:tcW w:w="2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76"/>
              <w:spacing w:after="0" w:line="237" w:lineRule="exact"/>
              <w:rPr>
                <w:sz w:val="20"/>
                <w:szCs w:val="20"/>
                <w:color w:val="auto"/>
              </w:rPr>
            </w:pPr>
            <w:r>
              <w:rPr>
                <w:rFonts w:ascii="Arial" w:cs="Arial" w:eastAsia="Arial" w:hAnsi="Arial"/>
                <w:sz w:val="21"/>
                <w:szCs w:val="21"/>
                <w:color w:val="auto"/>
              </w:rPr>
              <w:t>$</w:t>
            </w:r>
          </w:p>
        </w:tc>
        <w:tc>
          <w:tcPr>
            <w:tcW w:w="1160" w:type="dxa"/>
            <w:vAlign w:val="bottom"/>
            <w:tcBorders>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1"/>
                <w:szCs w:val="21"/>
                <w:color w:val="auto"/>
              </w:rPr>
              <w:t>10.37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See Item 2, “Management’s Discussion and Analysis of Financial Condition and Results of Operations - Our Business” for additional information related to the increase in sales.</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w:t>
      </w:r>
    </w:p>
    <w:p>
      <w:pPr>
        <w:spacing w:after="0" w:line="2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Changes to our critical accounting policies are discussed in “Recent Accounting Pronouncements” below. There have been no other material changes to our critical accounting policies from the information provided in Item 7, “Management’s Discussion and Analysis of Financial Condition and Results of Operations”, included in our Form 10-K for the fiscal year ended December 31, 2011.</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Accounting Pronouncements</w:t>
      </w:r>
    </w:p>
    <w:p>
      <w:pPr>
        <w:spacing w:after="0" w:line="2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In June 2011, the Financial Accounting Standards Board (the “FASB”) issued Accounting Standards Update (“ASU”) No. 2011-05, “Presentation of Comprehensive Income.” ASU 2011-05 eliminates the option to report other comprehensive income and its components in the statement of changes in stockholders’ equity and requires an entity to present the total of comprehensive income,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the components of net income and the components of other comprehensive income either in a single continuous statement or in two separate but consecutive statements. ASU 2011-05 became effective for the Company on January 1, 2012. The adoption of ASU 2011-05 did not have any impact on the Company’s financial position, results of operations or liquidity.</w:t>
      </w:r>
    </w:p>
    <w:p>
      <w:pPr>
        <w:spacing w:after="0" w:line="19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In May 2011, the FASB issued ASU No. 2011-04, “Amendments to Achieve Common Fair Value Measurement and Disclosure Requirements in U.S. GAAP and IFRS.” This pronouncement was issued to provide a consistent definition of fair value and ensure that the fair value measurement and disclosure requirements are similar between U.S. GAAP and International Financial Reporting Standards (“IFRS”). ASU 2011-04 changes certain fair value measurement principles and enhances the disclosure requirements particularly for level 3 fair value measurements. ASU 2011-04 became effective for the Company on January 1, 2012. The adoption of ASU 2011-04 did not have any impact on the Company’s financial position, results of operations or liquidity.</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Inflation</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We do not believe that inflation had a significant impact on our results of operations for the periods presented.</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3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The Private Securities Litigation Reform Act of 1995 (the “Act”) provides a safe harbor for forward-looking statements made by or on behalf of the Company. Certain statements made in this report may constitute forward-looking statements (within the meaning of Section 27A of the Securities Act of 1933, as amended, and Section 21E of the Securities Exchange Act of 1934, as amended) (the “Exchange Act”) regarding the expectations of management with respect to revenues, profitability, adequacy of funds from operations and our existing credit facility, among other things. All statements containing a projection of revenues, income (loss), earnings (loss) per share, capital expenditures, dividends, capital structure or other financial items, a statement of management’s plans and objectives for future operations, or a statement of future economic performance contained in management’s discussion and analysis of financial condition and results of operations, including statements related to new products, volume growth and statements encompassing general optimism about future operating results and non-historical</w:t>
      </w:r>
    </w:p>
    <w:p>
      <w:pPr>
        <w:sectPr>
          <w:pgSz w:w="11900" w:h="16838" w:orient="portrait"/>
          <w:cols w:equalWidth="0" w:num="1">
            <w:col w:w="11420"/>
          </w:cols>
          <w:pgMar w:left="240" w:top="361" w:right="239" w:bottom="0" w:gutter="0" w:footer="0" w:header="0"/>
        </w:sectPr>
      </w:pPr>
    </w:p>
    <w:bookmarkStart w:id="28" w:name="page29"/>
    <w:bookmarkEnd w:id="28"/>
    <w:p>
      <w:pPr>
        <w:jc w:val="both"/>
        <w:spacing w:after="0" w:line="329" w:lineRule="auto"/>
        <w:rPr>
          <w:sz w:val="20"/>
          <w:szCs w:val="20"/>
          <w:color w:val="auto"/>
        </w:rPr>
      </w:pPr>
      <w:r>
        <w:rPr>
          <w:rFonts w:ascii="Arial" w:cs="Arial" w:eastAsia="Arial" w:hAnsi="Arial"/>
          <w:sz w:val="19"/>
          <w:szCs w:val="19"/>
          <w:color w:val="auto"/>
        </w:rPr>
        <w:t>information, are forward-looking statements within the meaning of the Act. Without limiting the foregoing, the words “believes,” “thinks,” “anticipates,” “plans,” “expects,” and similar expressions are intended to identify forward-looking statements.</w:t>
      </w:r>
    </w:p>
    <w:p>
      <w:pPr>
        <w:spacing w:after="0" w:line="131"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Management cautions that these statements are qualified by their terms and/or important factors, many of which are outside our control, involve a number of risks, uncertainties and other factors, that could cause actual results and events to differ materially from the statements made including, but not limited to, the following:</w:t>
      </w:r>
    </w:p>
    <w:p>
      <w:pPr>
        <w:spacing w:after="0" w:line="213" w:lineRule="exact"/>
        <w:rPr>
          <w:sz w:val="20"/>
          <w:szCs w:val="20"/>
          <w:color w:val="auto"/>
        </w:rPr>
      </w:pPr>
    </w:p>
    <w:p>
      <w:pPr>
        <w:ind w:left="380" w:hanging="372"/>
        <w:spacing w:after="0"/>
        <w:tabs>
          <w:tab w:leader="none" w:pos="380"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current uncertainty and volatility in the national and global economy;</w:t>
      </w:r>
    </w:p>
    <w:p>
      <w:pPr>
        <w:spacing w:after="0" w:line="8" w:lineRule="exact"/>
        <w:rPr>
          <w:rFonts w:ascii="Arial" w:cs="Arial" w:eastAsia="Arial" w:hAnsi="Arial"/>
          <w:sz w:val="22"/>
          <w:szCs w:val="22"/>
          <w:color w:val="auto"/>
        </w:rPr>
      </w:pPr>
    </w:p>
    <w:p>
      <w:pPr>
        <w:ind w:left="380" w:hanging="372"/>
        <w:spacing w:after="0" w:line="230" w:lineRule="auto"/>
        <w:tabs>
          <w:tab w:leader="none" w:pos="380"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impact of lower disposable incomes of our consumers, as a result of the current state of the economy, the continuing high levels of unemployment and high gasoline prices;</w:t>
      </w:r>
    </w:p>
    <w:p>
      <w:pPr>
        <w:spacing w:after="0" w:line="1" w:lineRule="exact"/>
        <w:rPr>
          <w:rFonts w:ascii="Arial" w:cs="Arial" w:eastAsia="Arial" w:hAnsi="Arial"/>
          <w:sz w:val="22"/>
          <w:szCs w:val="22"/>
          <w:color w:val="auto"/>
        </w:rPr>
      </w:pPr>
    </w:p>
    <w:p>
      <w:pPr>
        <w:ind w:left="380" w:hanging="372"/>
        <w:spacing w:after="0" w:line="230" w:lineRule="auto"/>
        <w:tabs>
          <w:tab w:leader="none" w:pos="380" w:val="left"/>
        </w:tabs>
        <w:numPr>
          <w:ilvl w:val="0"/>
          <w:numId w:val="24"/>
        </w:numPr>
        <w:rPr>
          <w:rFonts w:ascii="Arial" w:cs="Arial" w:eastAsia="Arial" w:hAnsi="Arial"/>
          <w:sz w:val="22"/>
          <w:szCs w:val="22"/>
          <w:color w:val="auto"/>
        </w:rPr>
      </w:pPr>
      <w:r>
        <w:rPr>
          <w:rFonts w:ascii="Arial" w:cs="Arial" w:eastAsia="Arial" w:hAnsi="Arial"/>
          <w:sz w:val="22"/>
          <w:szCs w:val="22"/>
          <w:color w:val="auto"/>
        </w:rPr>
        <w:t>Disruption in distribution or sales and/or decline in sales due to the termination and/or appointment of existing and/or new domestic and/or international distributors;</w:t>
      </w:r>
    </w:p>
    <w:p>
      <w:pPr>
        <w:spacing w:after="0" w:line="1" w:lineRule="exact"/>
        <w:rPr>
          <w:rFonts w:ascii="Arial" w:cs="Arial" w:eastAsia="Arial" w:hAnsi="Arial"/>
          <w:sz w:val="22"/>
          <w:szCs w:val="22"/>
          <w:color w:val="auto"/>
        </w:rPr>
      </w:pPr>
    </w:p>
    <w:p>
      <w:pPr>
        <w:ind w:left="380" w:hanging="372"/>
        <w:spacing w:after="0" w:line="230" w:lineRule="auto"/>
        <w:tabs>
          <w:tab w:leader="none" w:pos="380" w:val="left"/>
        </w:tabs>
        <w:numPr>
          <w:ilvl w:val="0"/>
          <w:numId w:val="24"/>
        </w:numPr>
        <w:rPr>
          <w:rFonts w:ascii="Arial" w:cs="Arial" w:eastAsia="Arial" w:hAnsi="Arial"/>
          <w:sz w:val="22"/>
          <w:szCs w:val="22"/>
          <w:color w:val="auto"/>
        </w:rPr>
      </w:pPr>
      <w:r>
        <w:rPr>
          <w:rFonts w:ascii="Arial" w:cs="Arial" w:eastAsia="Arial" w:hAnsi="Arial"/>
          <w:sz w:val="22"/>
          <w:szCs w:val="22"/>
          <w:color w:val="auto"/>
        </w:rPr>
        <w:t>Lack of anticipated demand for our products in international markets;</w:t>
      </w:r>
    </w:p>
    <w:p>
      <w:pPr>
        <w:ind w:left="380" w:hanging="372"/>
        <w:spacing w:after="0" w:line="237" w:lineRule="auto"/>
        <w:tabs>
          <w:tab w:leader="none" w:pos="380" w:val="left"/>
        </w:tabs>
        <w:numPr>
          <w:ilvl w:val="0"/>
          <w:numId w:val="24"/>
        </w:numPr>
        <w:rPr>
          <w:rFonts w:ascii="Arial" w:cs="Arial" w:eastAsia="Arial" w:hAnsi="Arial"/>
          <w:sz w:val="22"/>
          <w:szCs w:val="22"/>
          <w:color w:val="auto"/>
        </w:rPr>
      </w:pPr>
      <w:r>
        <w:rPr>
          <w:rFonts w:ascii="Arial" w:cs="Arial" w:eastAsia="Arial" w:hAnsi="Arial"/>
          <w:sz w:val="22"/>
          <w:szCs w:val="22"/>
          <w:color w:val="auto"/>
        </w:rPr>
        <w:t>Unfavorable international regulations, including taxation requirements, product registration requirements, tariffs and/or trade restrictions;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ind w:left="380" w:hanging="372"/>
        <w:spacing w:after="0"/>
        <w:tabs>
          <w:tab w:leader="none" w:pos="380" w:val="left"/>
        </w:tabs>
        <w:numPr>
          <w:ilvl w:val="0"/>
          <w:numId w:val="25"/>
        </w:numPr>
        <w:rPr>
          <w:rFonts w:ascii="Arial" w:cs="Arial" w:eastAsia="Arial" w:hAnsi="Arial"/>
          <w:sz w:val="22"/>
          <w:szCs w:val="22"/>
          <w:color w:val="auto"/>
        </w:rPr>
      </w:pPr>
      <w:r>
        <w:rPr>
          <w:rFonts w:ascii="Arial" w:cs="Arial" w:eastAsia="Arial" w:hAnsi="Arial"/>
          <w:sz w:val="22"/>
          <w:szCs w:val="22"/>
          <w:color w:val="auto"/>
        </w:rPr>
        <w:t>Losses arising from our operations outside the United States;</w:t>
      </w:r>
    </w:p>
    <w:p>
      <w:pPr>
        <w:spacing w:after="0" w:line="8" w:lineRule="exact"/>
        <w:rPr>
          <w:rFonts w:ascii="Arial" w:cs="Arial" w:eastAsia="Arial" w:hAnsi="Arial"/>
          <w:sz w:val="22"/>
          <w:szCs w:val="22"/>
          <w:color w:val="auto"/>
        </w:rPr>
      </w:pPr>
    </w:p>
    <w:p>
      <w:pPr>
        <w:ind w:left="380" w:hanging="372"/>
        <w:spacing w:after="0" w:line="267" w:lineRule="auto"/>
        <w:tabs>
          <w:tab w:leader="none" w:pos="380" w:val="left"/>
        </w:tabs>
        <w:numPr>
          <w:ilvl w:val="0"/>
          <w:numId w:val="25"/>
        </w:numPr>
        <w:rPr>
          <w:rFonts w:ascii="Arial" w:cs="Arial" w:eastAsia="Arial" w:hAnsi="Arial"/>
          <w:sz w:val="19"/>
          <w:szCs w:val="19"/>
          <w:color w:val="auto"/>
        </w:rPr>
      </w:pPr>
      <w:r>
        <w:rPr>
          <w:rFonts w:ascii="Arial" w:cs="Arial" w:eastAsia="Arial" w:hAnsi="Arial"/>
          <w:sz w:val="19"/>
          <w:szCs w:val="19"/>
          <w:color w:val="auto"/>
        </w:rPr>
        <w:t>Our ability to manage legal and regulatory requirements in foreign jurisdictions, potential difficulties in staffing and managing foreign operations, potentially higher incidence of fraud or corruption and credit risk of foreign customers and distributors;</w:t>
      </w:r>
    </w:p>
    <w:p>
      <w:pPr>
        <w:ind w:left="380" w:hanging="372"/>
        <w:spacing w:after="0" w:line="230" w:lineRule="auto"/>
        <w:tabs>
          <w:tab w:leader="none" w:pos="380" w:val="left"/>
        </w:tabs>
        <w:numPr>
          <w:ilvl w:val="0"/>
          <w:numId w:val="25"/>
        </w:numPr>
        <w:rPr>
          <w:rFonts w:ascii="Arial" w:cs="Arial" w:eastAsia="Arial" w:hAnsi="Arial"/>
          <w:sz w:val="22"/>
          <w:szCs w:val="22"/>
          <w:color w:val="auto"/>
        </w:rPr>
      </w:pPr>
      <w:r>
        <w:rPr>
          <w:rFonts w:ascii="Arial" w:cs="Arial" w:eastAsia="Arial" w:hAnsi="Arial"/>
          <w:sz w:val="22"/>
          <w:szCs w:val="22"/>
          <w:color w:val="auto"/>
        </w:rPr>
        <w:t>Our ability to effectively manage our inventories and/or our accounts receivables;</w:t>
      </w:r>
    </w:p>
    <w:p>
      <w:pPr>
        <w:jc w:val="both"/>
        <w:ind w:left="380" w:hanging="372"/>
        <w:spacing w:after="0" w:line="230" w:lineRule="auto"/>
        <w:tabs>
          <w:tab w:leader="none" w:pos="380" w:val="left"/>
        </w:tabs>
        <w:numPr>
          <w:ilvl w:val="0"/>
          <w:numId w:val="25"/>
        </w:numPr>
        <w:rPr>
          <w:rFonts w:ascii="Arial" w:cs="Arial" w:eastAsia="Arial" w:hAnsi="Arial"/>
          <w:sz w:val="22"/>
          <w:szCs w:val="22"/>
          <w:color w:val="auto"/>
        </w:rPr>
      </w:pPr>
      <w:r>
        <w:rPr>
          <w:rFonts w:ascii="Arial" w:cs="Arial" w:eastAsia="Arial" w:hAnsi="Arial"/>
          <w:sz w:val="22"/>
          <w:szCs w:val="22"/>
          <w:color w:val="auto"/>
        </w:rPr>
        <w:t>Our foreign currency exchange rate risk with respect to our sales, expenses, profits, assets and liabilities denominated in currencies other than the U.S. dollar, which will continue to increase as foreign sales increase, since we do not use derivative financial instruments to reduce our net exposure to currency fluctuations;</w:t>
      </w:r>
    </w:p>
    <w:p>
      <w:pPr>
        <w:spacing w:after="0" w:line="2" w:lineRule="exact"/>
        <w:rPr>
          <w:rFonts w:ascii="Arial" w:cs="Arial" w:eastAsia="Arial" w:hAnsi="Arial"/>
          <w:sz w:val="22"/>
          <w:szCs w:val="22"/>
          <w:color w:val="auto"/>
        </w:rPr>
      </w:pPr>
    </w:p>
    <w:p>
      <w:pPr>
        <w:ind w:left="380" w:hanging="372"/>
        <w:spacing w:after="0" w:line="230" w:lineRule="auto"/>
        <w:tabs>
          <w:tab w:leader="none" w:pos="380" w:val="left"/>
        </w:tabs>
        <w:numPr>
          <w:ilvl w:val="0"/>
          <w:numId w:val="25"/>
        </w:numPr>
        <w:rPr>
          <w:rFonts w:ascii="Arial" w:cs="Arial" w:eastAsia="Arial" w:hAnsi="Arial"/>
          <w:sz w:val="22"/>
          <w:szCs w:val="22"/>
          <w:color w:val="auto"/>
        </w:rPr>
      </w:pPr>
      <w:r>
        <w:rPr>
          <w:rFonts w:ascii="Arial" w:cs="Arial" w:eastAsia="Arial" w:hAnsi="Arial"/>
          <w:sz w:val="22"/>
          <w:szCs w:val="22"/>
          <w:color w:val="auto"/>
        </w:rPr>
        <w:t>Any proceedings which may be brought against us by the Securities and Exchange Commission (the “SEC”) or other governmental agencies;</w:t>
      </w:r>
    </w:p>
    <w:p>
      <w:pPr>
        <w:spacing w:after="0" w:line="1" w:lineRule="exact"/>
        <w:rPr>
          <w:rFonts w:ascii="Arial" w:cs="Arial" w:eastAsia="Arial" w:hAnsi="Arial"/>
          <w:sz w:val="22"/>
          <w:szCs w:val="22"/>
          <w:color w:val="auto"/>
        </w:rPr>
      </w:pPr>
    </w:p>
    <w:p>
      <w:pPr>
        <w:ind w:left="380" w:right="20" w:hanging="372"/>
        <w:spacing w:after="0" w:line="230" w:lineRule="auto"/>
        <w:tabs>
          <w:tab w:leader="none" w:pos="380"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outcome of the shareholder securities litigation filed against us and/or against certain of our officers and directors, and the possibility of other private litigation;</w:t>
      </w:r>
    </w:p>
    <w:p>
      <w:pPr>
        <w:spacing w:after="0" w:line="1" w:lineRule="exact"/>
        <w:rPr>
          <w:rFonts w:ascii="Arial" w:cs="Arial" w:eastAsia="Arial" w:hAnsi="Arial"/>
          <w:sz w:val="22"/>
          <w:szCs w:val="22"/>
          <w:color w:val="auto"/>
        </w:rPr>
      </w:pPr>
    </w:p>
    <w:p>
      <w:pPr>
        <w:ind w:left="380" w:hanging="372"/>
        <w:spacing w:after="0" w:line="230" w:lineRule="auto"/>
        <w:tabs>
          <w:tab w:leader="none" w:pos="380"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possibility of future shareholder derivative actions or shareholder securities litigation filed against us;</w:t>
      </w:r>
    </w:p>
    <w:p>
      <w:pPr>
        <w:jc w:val="both"/>
        <w:ind w:left="380" w:hanging="372"/>
        <w:spacing w:after="0" w:line="230" w:lineRule="auto"/>
        <w:tabs>
          <w:tab w:leader="none" w:pos="380"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outcome of future auctions of auction rate securities and/or our ability to recover payments thereunder and/or the creditworthiness of issuers of our auction rate securities and/or our 2011 Put Option and/or their ability to make payment thereunder;</w:t>
      </w:r>
    </w:p>
    <w:p>
      <w:pPr>
        <w:spacing w:after="0" w:line="2" w:lineRule="exact"/>
        <w:rPr>
          <w:rFonts w:ascii="Arial" w:cs="Arial" w:eastAsia="Arial" w:hAnsi="Arial"/>
          <w:sz w:val="22"/>
          <w:szCs w:val="22"/>
          <w:color w:val="auto"/>
        </w:rPr>
      </w:pPr>
    </w:p>
    <w:p>
      <w:pPr>
        <w:ind w:left="380" w:hanging="372"/>
        <w:spacing w:after="0"/>
        <w:tabs>
          <w:tab w:leader="none" w:pos="380" w:val="left"/>
        </w:tabs>
        <w:numPr>
          <w:ilvl w:val="0"/>
          <w:numId w:val="25"/>
        </w:numPr>
        <w:rPr>
          <w:rFonts w:ascii="Arial" w:cs="Arial" w:eastAsia="Arial" w:hAnsi="Arial"/>
          <w:sz w:val="21"/>
          <w:szCs w:val="21"/>
          <w:color w:val="auto"/>
        </w:rPr>
      </w:pPr>
      <w:r>
        <w:rPr>
          <w:rFonts w:ascii="Arial" w:cs="Arial" w:eastAsia="Arial" w:hAnsi="Arial"/>
          <w:sz w:val="21"/>
          <w:szCs w:val="21"/>
          <w:color w:val="auto"/>
        </w:rPr>
        <w:t>Our ability to address any significant deficiencies or material weakness in our internal control over financial reporting;</w:t>
      </w:r>
    </w:p>
    <w:p>
      <w:pPr>
        <w:spacing w:after="0" w:line="1" w:lineRule="exact"/>
        <w:rPr>
          <w:rFonts w:ascii="Arial" w:cs="Arial" w:eastAsia="Arial" w:hAnsi="Arial"/>
          <w:sz w:val="21"/>
          <w:szCs w:val="21"/>
          <w:color w:val="auto"/>
        </w:rPr>
      </w:pPr>
    </w:p>
    <w:p>
      <w:pPr>
        <w:ind w:left="380" w:hanging="372"/>
        <w:spacing w:after="0" w:line="230" w:lineRule="auto"/>
        <w:tabs>
          <w:tab w:leader="none" w:pos="380" w:val="left"/>
        </w:tabs>
        <w:numPr>
          <w:ilvl w:val="0"/>
          <w:numId w:val="25"/>
        </w:numPr>
        <w:rPr>
          <w:rFonts w:ascii="Arial" w:cs="Arial" w:eastAsia="Arial" w:hAnsi="Arial"/>
          <w:sz w:val="22"/>
          <w:szCs w:val="22"/>
          <w:color w:val="auto"/>
        </w:rPr>
      </w:pPr>
      <w:r>
        <w:rPr>
          <w:rFonts w:ascii="Arial" w:cs="Arial" w:eastAsia="Arial" w:hAnsi="Arial"/>
          <w:sz w:val="22"/>
          <w:szCs w:val="22"/>
          <w:color w:val="auto"/>
        </w:rPr>
        <w:t>Our ability to generate sufficient cash flows to support capital expansion plans and general operating activities;</w:t>
      </w:r>
    </w:p>
    <w:p>
      <w:pPr>
        <w:ind w:left="380" w:hanging="372"/>
        <w:spacing w:after="0" w:line="230" w:lineRule="auto"/>
        <w:tabs>
          <w:tab w:leader="none" w:pos="380" w:val="left"/>
        </w:tabs>
        <w:numPr>
          <w:ilvl w:val="0"/>
          <w:numId w:val="25"/>
        </w:numPr>
        <w:rPr>
          <w:rFonts w:ascii="Arial" w:cs="Arial" w:eastAsia="Arial" w:hAnsi="Arial"/>
          <w:sz w:val="22"/>
          <w:szCs w:val="22"/>
          <w:color w:val="auto"/>
        </w:rPr>
      </w:pPr>
      <w:r>
        <w:rPr>
          <w:rFonts w:ascii="Arial" w:cs="Arial" w:eastAsia="Arial" w:hAnsi="Arial"/>
          <w:sz w:val="22"/>
          <w:szCs w:val="22"/>
          <w:color w:val="auto"/>
        </w:rPr>
        <w:t>Decreased demand for our products resulting from changes in consumer preferences or from decreased consumer discretionary spending power;</w:t>
      </w:r>
    </w:p>
    <w:p>
      <w:pPr>
        <w:spacing w:after="0" w:line="1" w:lineRule="exact"/>
        <w:rPr>
          <w:rFonts w:ascii="Arial" w:cs="Arial" w:eastAsia="Arial" w:hAnsi="Arial"/>
          <w:sz w:val="22"/>
          <w:szCs w:val="22"/>
          <w:color w:val="auto"/>
        </w:rPr>
      </w:pPr>
    </w:p>
    <w:p>
      <w:pPr>
        <w:ind w:left="380" w:hanging="372"/>
        <w:spacing w:after="0" w:line="230" w:lineRule="auto"/>
        <w:tabs>
          <w:tab w:leader="none" w:pos="380" w:val="left"/>
        </w:tabs>
        <w:numPr>
          <w:ilvl w:val="0"/>
          <w:numId w:val="25"/>
        </w:numPr>
        <w:rPr>
          <w:rFonts w:ascii="Arial" w:cs="Arial" w:eastAsia="Arial" w:hAnsi="Arial"/>
          <w:sz w:val="22"/>
          <w:szCs w:val="22"/>
          <w:color w:val="auto"/>
        </w:rPr>
      </w:pPr>
      <w:r>
        <w:rPr>
          <w:rFonts w:ascii="Arial" w:cs="Arial" w:eastAsia="Arial" w:hAnsi="Arial"/>
          <w:sz w:val="22"/>
          <w:szCs w:val="22"/>
          <w:color w:val="auto"/>
        </w:rPr>
        <w:t>Changes in demand that are weather related, particularly in areas outside of California;</w:t>
      </w:r>
    </w:p>
    <w:p>
      <w:pPr>
        <w:ind w:left="380" w:hanging="372"/>
        <w:spacing w:after="0" w:line="230" w:lineRule="auto"/>
        <w:tabs>
          <w:tab w:leader="none" w:pos="380" w:val="left"/>
        </w:tabs>
        <w:numPr>
          <w:ilvl w:val="0"/>
          <w:numId w:val="25"/>
        </w:numPr>
        <w:rPr>
          <w:rFonts w:ascii="Arial" w:cs="Arial" w:eastAsia="Arial" w:hAnsi="Arial"/>
          <w:sz w:val="22"/>
          <w:szCs w:val="22"/>
          <w:color w:val="auto"/>
        </w:rPr>
      </w:pPr>
      <w:r>
        <w:rPr>
          <w:rFonts w:ascii="Arial" w:cs="Arial" w:eastAsia="Arial" w:hAnsi="Arial"/>
          <w:sz w:val="22"/>
          <w:szCs w:val="22"/>
          <w:color w:val="auto"/>
        </w:rPr>
        <w:t>Competitive products and pricing pressures and our ability to gain or maintain our share of sales in the marketplace as a result of actions by competitors;</w:t>
      </w:r>
    </w:p>
    <w:p>
      <w:pPr>
        <w:spacing w:after="0" w:line="1" w:lineRule="exact"/>
        <w:rPr>
          <w:rFonts w:ascii="Arial" w:cs="Arial" w:eastAsia="Arial" w:hAnsi="Arial"/>
          <w:sz w:val="22"/>
          <w:szCs w:val="22"/>
          <w:color w:val="auto"/>
        </w:rPr>
      </w:pPr>
    </w:p>
    <w:p>
      <w:pPr>
        <w:ind w:left="380" w:hanging="372"/>
        <w:spacing w:after="0" w:line="230" w:lineRule="auto"/>
        <w:tabs>
          <w:tab w:leader="none" w:pos="380" w:val="left"/>
        </w:tabs>
        <w:numPr>
          <w:ilvl w:val="0"/>
          <w:numId w:val="25"/>
        </w:numPr>
        <w:rPr>
          <w:rFonts w:ascii="Arial" w:cs="Arial" w:eastAsia="Arial" w:hAnsi="Arial"/>
          <w:sz w:val="22"/>
          <w:szCs w:val="22"/>
          <w:color w:val="auto"/>
        </w:rPr>
      </w:pPr>
      <w:r>
        <w:rPr>
          <w:rFonts w:ascii="Arial" w:cs="Arial" w:eastAsia="Arial" w:hAnsi="Arial"/>
          <w:sz w:val="22"/>
          <w:szCs w:val="22"/>
          <w:color w:val="auto"/>
        </w:rPr>
        <w:t>Our ability to introduce new products;</w:t>
      </w:r>
    </w:p>
    <w:p>
      <w:pPr>
        <w:ind w:left="380" w:hanging="372"/>
        <w:spacing w:after="0" w:line="230" w:lineRule="auto"/>
        <w:tabs>
          <w:tab w:leader="none" w:pos="380" w:val="left"/>
        </w:tabs>
        <w:numPr>
          <w:ilvl w:val="0"/>
          <w:numId w:val="25"/>
        </w:numPr>
        <w:rPr>
          <w:rFonts w:ascii="Arial" w:cs="Arial" w:eastAsia="Arial" w:hAnsi="Arial"/>
          <w:sz w:val="22"/>
          <w:szCs w:val="22"/>
          <w:color w:val="auto"/>
        </w:rPr>
      </w:pPr>
      <w:r>
        <w:rPr>
          <w:rFonts w:ascii="Arial" w:cs="Arial" w:eastAsia="Arial" w:hAnsi="Arial"/>
          <w:sz w:val="22"/>
          <w:szCs w:val="22"/>
          <w:color w:val="auto"/>
        </w:rPr>
        <w:t>An inability to achieve volume growth through product and packaging initiatives;</w:t>
      </w:r>
    </w:p>
    <w:p>
      <w:pPr>
        <w:jc w:val="both"/>
        <w:ind w:left="380" w:hanging="372"/>
        <w:spacing w:after="0" w:line="230" w:lineRule="auto"/>
        <w:tabs>
          <w:tab w:leader="none" w:pos="380" w:val="left"/>
        </w:tabs>
        <w:numPr>
          <w:ilvl w:val="0"/>
          <w:numId w:val="25"/>
        </w:numPr>
        <w:rPr>
          <w:rFonts w:ascii="Arial" w:cs="Arial" w:eastAsia="Arial" w:hAnsi="Arial"/>
          <w:sz w:val="22"/>
          <w:szCs w:val="22"/>
          <w:color w:val="auto"/>
        </w:rPr>
      </w:pPr>
      <w:r>
        <w:rPr>
          <w:rFonts w:ascii="Arial" w:cs="Arial" w:eastAsia="Arial" w:hAnsi="Arial"/>
          <w:sz w:val="22"/>
          <w:szCs w:val="22"/>
          <w:color w:val="auto"/>
        </w:rPr>
        <w:t>Our ability to sustain the current level of sales and/or increase the sales of our Monster Energy® brand energy drinks and/or our Java Monster® line of non-carbonated dairy based coffee + energy drinks and/or our Monster Energy Extra Strength Nitrous Technology® drinks and/or our Peace Tea® iced teas and/or our Monster Rehab® energy drinks and/or our Worx Energy® energy shots;</w:t>
      </w:r>
    </w:p>
    <w:p>
      <w:pPr>
        <w:spacing w:after="0" w:line="2" w:lineRule="exact"/>
        <w:rPr>
          <w:rFonts w:ascii="Arial" w:cs="Arial" w:eastAsia="Arial" w:hAnsi="Arial"/>
          <w:sz w:val="22"/>
          <w:szCs w:val="22"/>
          <w:color w:val="auto"/>
        </w:rPr>
      </w:pPr>
    </w:p>
    <w:p>
      <w:pPr>
        <w:jc w:val="both"/>
        <w:ind w:left="380" w:hanging="372"/>
        <w:spacing w:after="0" w:line="267" w:lineRule="auto"/>
        <w:tabs>
          <w:tab w:leader="none" w:pos="380"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impact of criticism of our energy drink products and/or the energy drink market generally and/or legislation enacted, whether as a result of such criticism or otherwise, that limits or otherwise restricts the sale of energy drinks to minors and/or persons below a specified age and/or the venues and/or the size of containers in which energy drinks can be sold;</w:t>
      </w:r>
    </w:p>
    <w:p>
      <w:pPr>
        <w:jc w:val="both"/>
        <w:ind w:left="380" w:hanging="372"/>
        <w:spacing w:after="0" w:line="275" w:lineRule="auto"/>
        <w:tabs>
          <w:tab w:leader="none" w:pos="380" w:val="left"/>
        </w:tabs>
        <w:numPr>
          <w:ilvl w:val="0"/>
          <w:numId w:val="25"/>
        </w:numPr>
        <w:rPr>
          <w:rFonts w:ascii="Arial" w:cs="Arial" w:eastAsia="Arial" w:hAnsi="Arial"/>
          <w:sz w:val="19"/>
          <w:szCs w:val="19"/>
          <w:color w:val="auto"/>
        </w:rPr>
      </w:pPr>
      <w:r>
        <w:rPr>
          <w:rFonts w:ascii="Arial" w:cs="Arial" w:eastAsia="Arial" w:hAnsi="Arial"/>
          <w:sz w:val="19"/>
          <w:szCs w:val="19"/>
          <w:color w:val="auto"/>
        </w:rPr>
        <w:t>Our ability to comply with and/or resultant lower consumer demand for energy drinks due to existing and/or future foreign, national, state and local laws and regulations and/or any changes therein, including changes in accounting standards, taxation requirements (including tax rate changes, new tax laws, new and/or increased excise and/or sales and/or other taxes on our products and revised tax law interpretations) and environmental laws, as well as the Federal Food, Drug and Cosmetic Act, the Dietary Supplement Health and Education Act, and regulations made thereunder or in connection therewith, as well as changes in any other food and drug laws in the United States and internationally, especially those that may affect the way in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18" w:right="239" w:bottom="0" w:gutter="0" w:footer="0" w:header="0"/>
        </w:sectPr>
      </w:pPr>
    </w:p>
    <w:p>
      <w:pPr>
        <w:spacing w:after="0" w:line="245" w:lineRule="exact"/>
        <w:rPr>
          <w:sz w:val="20"/>
          <w:szCs w:val="20"/>
          <w:color w:val="auto"/>
        </w:rPr>
      </w:pPr>
    </w:p>
    <w:p>
      <w:pPr>
        <w:ind w:left="380"/>
        <w:spacing w:after="0" w:line="328" w:lineRule="auto"/>
        <w:rPr>
          <w:sz w:val="20"/>
          <w:szCs w:val="20"/>
          <w:color w:val="auto"/>
        </w:rPr>
      </w:pPr>
      <w:r>
        <w:rPr>
          <w:rFonts w:ascii="Arial" w:cs="Arial" w:eastAsia="Arial" w:hAnsi="Arial"/>
          <w:sz w:val="19"/>
          <w:szCs w:val="19"/>
          <w:color w:val="auto"/>
        </w:rPr>
        <w:t>which our products are marketed, and/or labeled, and/or sold, including the contents thereof, as well as laws and regulations or rules made or enforced by the Food and Drug Administration, and/or the Bureau of Alcohol, Tobacco and Firearms and</w:t>
      </w:r>
    </w:p>
    <w:p>
      <w:pPr>
        <w:sectPr>
          <w:pgSz w:w="11900" w:h="16838" w:orient="portrait"/>
          <w:cols w:equalWidth="0" w:num="1">
            <w:col w:w="11420"/>
          </w:cols>
          <w:pgMar w:left="240" w:top="118" w:right="239" w:bottom="0" w:gutter="0" w:footer="0" w:header="0"/>
          <w:type w:val="continuous"/>
        </w:sectPr>
      </w:pPr>
    </w:p>
    <w:bookmarkStart w:id="29" w:name="page30"/>
    <w:bookmarkEnd w:id="29"/>
    <w:p>
      <w:pPr>
        <w:ind w:left="380"/>
        <w:spacing w:after="0" w:line="239" w:lineRule="auto"/>
        <w:rPr>
          <w:sz w:val="20"/>
          <w:szCs w:val="20"/>
          <w:color w:val="auto"/>
        </w:rPr>
      </w:pPr>
      <w:r>
        <w:rPr>
          <w:rFonts w:ascii="Arial" w:cs="Arial" w:eastAsia="Arial" w:hAnsi="Arial"/>
          <w:sz w:val="22"/>
          <w:szCs w:val="22"/>
          <w:color w:val="auto"/>
        </w:rPr>
        <w:t>Explosives, and/or the Federal Trade Commission and/or certain state regulatory agencies and/or by any other countries in which we sell and/or decide to sell our products;</w:t>
      </w:r>
    </w:p>
    <w:p>
      <w:pPr>
        <w:spacing w:after="0" w:line="1" w:lineRule="exact"/>
        <w:rPr>
          <w:sz w:val="20"/>
          <w:szCs w:val="20"/>
          <w:color w:val="auto"/>
        </w:rPr>
      </w:pPr>
    </w:p>
    <w:p>
      <w:pPr>
        <w:ind w:left="380" w:hanging="372"/>
        <w:spacing w:after="0" w:line="241" w:lineRule="auto"/>
        <w:tabs>
          <w:tab w:leader="none" w:pos="380" w:val="left"/>
        </w:tabs>
        <w:numPr>
          <w:ilvl w:val="0"/>
          <w:numId w:val="26"/>
        </w:numPr>
        <w:rPr>
          <w:rFonts w:ascii="Arial" w:cs="Arial" w:eastAsia="Arial" w:hAnsi="Arial"/>
          <w:sz w:val="21"/>
          <w:szCs w:val="21"/>
          <w:color w:val="auto"/>
        </w:rPr>
      </w:pPr>
      <w:r>
        <w:rPr>
          <w:rFonts w:ascii="Arial" w:cs="Arial" w:eastAsia="Arial" w:hAnsi="Arial"/>
          <w:sz w:val="21"/>
          <w:szCs w:val="21"/>
          <w:color w:val="auto"/>
        </w:rPr>
        <w:t>The effect of inquiries and/or actions by attorneys general and/or other government agencies and/or quasi-government agencies into the advertising, marketing, promotion, ingredients, usage and/or sale of our energy drink products;</w:t>
      </w:r>
    </w:p>
    <w:p>
      <w:pPr>
        <w:spacing w:after="0" w:line="1" w:lineRule="exact"/>
        <w:rPr>
          <w:rFonts w:ascii="Arial" w:cs="Arial" w:eastAsia="Arial" w:hAnsi="Arial"/>
          <w:sz w:val="21"/>
          <w:szCs w:val="21"/>
          <w:color w:val="auto"/>
        </w:rPr>
      </w:pPr>
    </w:p>
    <w:p>
      <w:pPr>
        <w:jc w:val="both"/>
        <w:ind w:left="380" w:hanging="372"/>
        <w:spacing w:after="0" w:line="230" w:lineRule="auto"/>
        <w:tabs>
          <w:tab w:leader="none" w:pos="380" w:val="left"/>
        </w:tabs>
        <w:numPr>
          <w:ilvl w:val="0"/>
          <w:numId w:val="26"/>
        </w:numPr>
        <w:rPr>
          <w:rFonts w:ascii="Arial" w:cs="Arial" w:eastAsia="Arial" w:hAnsi="Arial"/>
          <w:sz w:val="22"/>
          <w:szCs w:val="22"/>
          <w:color w:val="auto"/>
        </w:rPr>
      </w:pPr>
      <w:r>
        <w:rPr>
          <w:rFonts w:ascii="Arial" w:cs="Arial" w:eastAsia="Arial" w:hAnsi="Arial"/>
          <w:sz w:val="22"/>
          <w:szCs w:val="22"/>
          <w:color w:val="auto"/>
        </w:rPr>
        <w:t>Changes in the cost, quality and availability of containers, packaging materials, raw materials, supplements and juice concentrates, and the ability to obtain and/or maintain favorable supply arrangements and relationships and procure timely and/or adequate production of all or any of our products;</w:t>
      </w:r>
    </w:p>
    <w:p>
      <w:pPr>
        <w:spacing w:after="0" w:line="2" w:lineRule="exact"/>
        <w:rPr>
          <w:rFonts w:ascii="Arial" w:cs="Arial" w:eastAsia="Arial" w:hAnsi="Arial"/>
          <w:sz w:val="22"/>
          <w:szCs w:val="22"/>
          <w:color w:val="auto"/>
        </w:rPr>
      </w:pPr>
    </w:p>
    <w:p>
      <w:pPr>
        <w:ind w:left="380" w:hanging="372"/>
        <w:spacing w:after="0" w:line="230" w:lineRule="auto"/>
        <w:tabs>
          <w:tab w:leader="none" w:pos="380" w:val="left"/>
        </w:tabs>
        <w:numPr>
          <w:ilvl w:val="0"/>
          <w:numId w:val="26"/>
        </w:numPr>
        <w:rPr>
          <w:rFonts w:ascii="Arial" w:cs="Arial" w:eastAsia="Arial" w:hAnsi="Arial"/>
          <w:sz w:val="22"/>
          <w:szCs w:val="22"/>
          <w:color w:val="auto"/>
        </w:rPr>
      </w:pPr>
      <w:r>
        <w:rPr>
          <w:rFonts w:ascii="Arial" w:cs="Arial" w:eastAsia="Arial" w:hAnsi="Arial"/>
          <w:sz w:val="22"/>
          <w:szCs w:val="22"/>
          <w:color w:val="auto"/>
        </w:rPr>
        <w:t>Our ability to pass on to our customers all or a portion of the increasing costs of fuel and/or raw materials and/or ingredients and/or commodities affecting our business;</w:t>
      </w:r>
    </w:p>
    <w:p>
      <w:pPr>
        <w:spacing w:after="0" w:line="1" w:lineRule="exact"/>
        <w:rPr>
          <w:rFonts w:ascii="Arial" w:cs="Arial" w:eastAsia="Arial" w:hAnsi="Arial"/>
          <w:sz w:val="22"/>
          <w:szCs w:val="22"/>
          <w:color w:val="auto"/>
        </w:rPr>
      </w:pPr>
    </w:p>
    <w:p>
      <w:pPr>
        <w:jc w:val="both"/>
        <w:ind w:left="380" w:hanging="372"/>
        <w:spacing w:after="0" w:line="230" w:lineRule="auto"/>
        <w:tabs>
          <w:tab w:leader="none" w:pos="380" w:val="left"/>
        </w:tabs>
        <w:numPr>
          <w:ilvl w:val="0"/>
          <w:numId w:val="26"/>
        </w:numPr>
        <w:rPr>
          <w:rFonts w:ascii="Arial" w:cs="Arial" w:eastAsia="Arial" w:hAnsi="Arial"/>
          <w:sz w:val="22"/>
          <w:szCs w:val="22"/>
          <w:color w:val="auto"/>
        </w:rPr>
      </w:pPr>
      <w:r>
        <w:rPr>
          <w:rFonts w:ascii="Arial" w:cs="Arial" w:eastAsia="Arial" w:hAnsi="Arial"/>
          <w:sz w:val="22"/>
          <w:szCs w:val="22"/>
          <w:color w:val="auto"/>
        </w:rPr>
        <w:t>Our ability to achieve both domestic and international forecasts, which may be based on projected volumes and sales of many product types and/or new products, certain of which are more profitable than others; there can be no assurance that we will achieve projected levels or mixes of product sales;</w:t>
      </w:r>
    </w:p>
    <w:p>
      <w:pPr>
        <w:spacing w:after="0" w:line="2" w:lineRule="exact"/>
        <w:rPr>
          <w:rFonts w:ascii="Arial" w:cs="Arial" w:eastAsia="Arial" w:hAnsi="Arial"/>
          <w:sz w:val="22"/>
          <w:szCs w:val="22"/>
          <w:color w:val="auto"/>
        </w:rPr>
      </w:pPr>
    </w:p>
    <w:p>
      <w:pPr>
        <w:ind w:left="380" w:hanging="372"/>
        <w:spacing w:after="0" w:line="230" w:lineRule="auto"/>
        <w:tabs>
          <w:tab w:leader="none" w:pos="380" w:val="left"/>
        </w:tabs>
        <w:numPr>
          <w:ilvl w:val="0"/>
          <w:numId w:val="26"/>
        </w:numPr>
        <w:rPr>
          <w:rFonts w:ascii="Arial" w:cs="Arial" w:eastAsia="Arial" w:hAnsi="Arial"/>
          <w:sz w:val="22"/>
          <w:szCs w:val="22"/>
          <w:color w:val="auto"/>
        </w:rPr>
      </w:pPr>
      <w:r>
        <w:rPr>
          <w:rFonts w:ascii="Arial" w:cs="Arial" w:eastAsia="Arial" w:hAnsi="Arial"/>
          <w:sz w:val="22"/>
          <w:szCs w:val="22"/>
          <w:color w:val="auto"/>
        </w:rPr>
        <w:t>Our ability to penetrate new domestic and/or international markets;</w:t>
      </w:r>
    </w:p>
    <w:p>
      <w:pPr>
        <w:ind w:left="380" w:hanging="372"/>
        <w:spacing w:after="0"/>
        <w:tabs>
          <w:tab w:leader="none" w:pos="380" w:val="left"/>
        </w:tabs>
        <w:numPr>
          <w:ilvl w:val="0"/>
          <w:numId w:val="26"/>
        </w:numPr>
        <w:rPr>
          <w:rFonts w:ascii="Arial" w:cs="Arial" w:eastAsia="Arial" w:hAnsi="Arial"/>
          <w:sz w:val="21"/>
          <w:szCs w:val="21"/>
          <w:color w:val="auto"/>
        </w:rPr>
      </w:pPr>
      <w:r>
        <w:rPr>
          <w:rFonts w:ascii="Arial" w:cs="Arial" w:eastAsia="Arial" w:hAnsi="Arial"/>
          <w:sz w:val="21"/>
          <w:szCs w:val="21"/>
          <w:color w:val="auto"/>
        </w:rPr>
        <w:t>Our ability to gain approval or mitigate the delay in securing approval for the sale of our products in various countries;</w:t>
      </w:r>
    </w:p>
    <w:p>
      <w:pPr>
        <w:spacing w:after="0" w:line="1" w:lineRule="exact"/>
        <w:rPr>
          <w:rFonts w:ascii="Arial" w:cs="Arial" w:eastAsia="Arial" w:hAnsi="Arial"/>
          <w:sz w:val="21"/>
          <w:szCs w:val="21"/>
          <w:color w:val="auto"/>
        </w:rPr>
      </w:pPr>
    </w:p>
    <w:p>
      <w:pPr>
        <w:ind w:left="380" w:hanging="372"/>
        <w:spacing w:after="0" w:line="230" w:lineRule="auto"/>
        <w:tabs>
          <w:tab w:leader="none" w:pos="380" w:val="left"/>
        </w:tabs>
        <w:numPr>
          <w:ilvl w:val="0"/>
          <w:numId w:val="26"/>
        </w:numPr>
        <w:rPr>
          <w:rFonts w:ascii="Arial" w:cs="Arial" w:eastAsia="Arial" w:hAnsi="Arial"/>
          <w:sz w:val="22"/>
          <w:szCs w:val="22"/>
          <w:color w:val="auto"/>
        </w:rPr>
      </w:pPr>
      <w:r>
        <w:rPr>
          <w:rFonts w:ascii="Arial" w:cs="Arial" w:eastAsia="Arial" w:hAnsi="Arial"/>
          <w:sz w:val="22"/>
          <w:szCs w:val="22"/>
          <w:color w:val="auto"/>
        </w:rPr>
        <w:t>Economic or political instability in one or more of our international markets;</w:t>
      </w:r>
    </w:p>
    <w:p>
      <w:pPr>
        <w:ind w:left="380" w:hanging="372"/>
        <w:spacing w:after="0" w:line="230" w:lineRule="auto"/>
        <w:tabs>
          <w:tab w:leader="none" w:pos="380" w:val="left"/>
        </w:tabs>
        <w:numPr>
          <w:ilvl w:val="0"/>
          <w:numId w:val="26"/>
        </w:numPr>
        <w:rPr>
          <w:rFonts w:ascii="Arial" w:cs="Arial" w:eastAsia="Arial" w:hAnsi="Arial"/>
          <w:sz w:val="22"/>
          <w:szCs w:val="22"/>
          <w:color w:val="auto"/>
        </w:rPr>
      </w:pPr>
      <w:r>
        <w:rPr>
          <w:rFonts w:ascii="Arial" w:cs="Arial" w:eastAsia="Arial" w:hAnsi="Arial"/>
          <w:sz w:val="22"/>
          <w:szCs w:val="22"/>
          <w:color w:val="auto"/>
        </w:rPr>
        <w:t>Our ability to secure and/or retain competent and/or effective distributors internationally;</w:t>
      </w:r>
    </w:p>
    <w:p>
      <w:pPr>
        <w:ind w:left="380" w:hanging="372"/>
        <w:spacing w:after="0" w:line="230" w:lineRule="auto"/>
        <w:tabs>
          <w:tab w:leader="none" w:pos="380"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sales and/or marketing efforts of distributors of our products, most of which distribute products that are competitive with our products;</w:t>
      </w:r>
    </w:p>
    <w:p>
      <w:pPr>
        <w:spacing w:after="0" w:line="1" w:lineRule="exact"/>
        <w:rPr>
          <w:rFonts w:ascii="Arial" w:cs="Arial" w:eastAsia="Arial" w:hAnsi="Arial"/>
          <w:sz w:val="22"/>
          <w:szCs w:val="22"/>
          <w:color w:val="auto"/>
        </w:rPr>
      </w:pPr>
    </w:p>
    <w:p>
      <w:pPr>
        <w:jc w:val="both"/>
        <w:ind w:left="380" w:hanging="372"/>
        <w:spacing w:after="0" w:line="230" w:lineRule="auto"/>
        <w:tabs>
          <w:tab w:leader="none" w:pos="380" w:val="left"/>
        </w:tabs>
        <w:numPr>
          <w:ilvl w:val="0"/>
          <w:numId w:val="26"/>
        </w:numPr>
        <w:rPr>
          <w:rFonts w:ascii="Arial" w:cs="Arial" w:eastAsia="Arial" w:hAnsi="Arial"/>
          <w:sz w:val="22"/>
          <w:szCs w:val="22"/>
          <w:color w:val="auto"/>
        </w:rPr>
      </w:pPr>
      <w:r>
        <w:rPr>
          <w:rFonts w:ascii="Arial" w:cs="Arial" w:eastAsia="Arial" w:hAnsi="Arial"/>
          <w:sz w:val="22"/>
          <w:szCs w:val="22"/>
          <w:color w:val="auto"/>
        </w:rPr>
        <w:t>Unilateral decisions by distributors, convenience chains, grocery chains, specialty chain stores, club stores and other customers to discontinue carrying all or any of our products that they are carrying at any time and/or restrict the range of our products they carry and/or devote less resources to the sale of our products;</w:t>
      </w:r>
    </w:p>
    <w:p>
      <w:pPr>
        <w:spacing w:after="0" w:line="2" w:lineRule="exact"/>
        <w:rPr>
          <w:rFonts w:ascii="Arial" w:cs="Arial" w:eastAsia="Arial" w:hAnsi="Arial"/>
          <w:sz w:val="22"/>
          <w:szCs w:val="22"/>
          <w:color w:val="auto"/>
        </w:rPr>
      </w:pPr>
    </w:p>
    <w:p>
      <w:pPr>
        <w:ind w:left="380" w:hanging="372"/>
        <w:spacing w:after="0" w:line="230" w:lineRule="auto"/>
        <w:tabs>
          <w:tab w:leader="none" w:pos="380"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terms and/or availability of our credit facility and the actions of our creditors;</w:t>
      </w:r>
    </w:p>
    <w:p>
      <w:pPr>
        <w:ind w:left="380" w:hanging="372"/>
        <w:spacing w:after="0" w:line="230" w:lineRule="auto"/>
        <w:tabs>
          <w:tab w:leader="none" w:pos="380"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costs and/or effectiveness, now or in the future, of our advertising, marketing and promotional strategies;</w:t>
      </w:r>
    </w:p>
    <w:p>
      <w:pPr>
        <w:ind w:left="380" w:hanging="372"/>
        <w:spacing w:after="0" w:line="230" w:lineRule="auto"/>
        <w:tabs>
          <w:tab w:leader="none" w:pos="380" w:val="left"/>
        </w:tabs>
        <w:numPr>
          <w:ilvl w:val="0"/>
          <w:numId w:val="26"/>
        </w:numPr>
        <w:rPr>
          <w:rFonts w:ascii="Arial" w:cs="Arial" w:eastAsia="Arial" w:hAnsi="Arial"/>
          <w:sz w:val="22"/>
          <w:szCs w:val="22"/>
          <w:color w:val="auto"/>
        </w:rPr>
      </w:pPr>
      <w:r>
        <w:rPr>
          <w:rFonts w:ascii="Arial" w:cs="Arial" w:eastAsia="Arial" w:hAnsi="Arial"/>
          <w:sz w:val="22"/>
          <w:szCs w:val="22"/>
          <w:color w:val="auto"/>
        </w:rPr>
        <w:t>Changes in product category consumption;</w:t>
      </w:r>
    </w:p>
    <w:p>
      <w:pPr>
        <w:ind w:left="380" w:hanging="372"/>
        <w:spacing w:after="0" w:line="230" w:lineRule="auto"/>
        <w:tabs>
          <w:tab w:leader="none" w:pos="380" w:val="left"/>
        </w:tabs>
        <w:numPr>
          <w:ilvl w:val="0"/>
          <w:numId w:val="26"/>
        </w:numPr>
        <w:rPr>
          <w:rFonts w:ascii="Arial" w:cs="Arial" w:eastAsia="Arial" w:hAnsi="Arial"/>
          <w:sz w:val="22"/>
          <w:szCs w:val="22"/>
          <w:color w:val="auto"/>
        </w:rPr>
      </w:pPr>
      <w:r>
        <w:rPr>
          <w:rFonts w:ascii="Arial" w:cs="Arial" w:eastAsia="Arial" w:hAnsi="Arial"/>
          <w:sz w:val="22"/>
          <w:szCs w:val="22"/>
          <w:color w:val="auto"/>
        </w:rPr>
        <w:t>Unforeseen economic and political changes;</w:t>
      </w:r>
    </w:p>
    <w:p>
      <w:pPr>
        <w:ind w:left="380" w:hanging="372"/>
        <w:spacing w:after="0" w:line="230" w:lineRule="auto"/>
        <w:tabs>
          <w:tab w:leader="none" w:pos="380" w:val="left"/>
        </w:tabs>
        <w:numPr>
          <w:ilvl w:val="0"/>
          <w:numId w:val="26"/>
        </w:numPr>
        <w:rPr>
          <w:rFonts w:ascii="Arial" w:cs="Arial" w:eastAsia="Arial" w:hAnsi="Arial"/>
          <w:sz w:val="22"/>
          <w:szCs w:val="22"/>
          <w:color w:val="auto"/>
        </w:rPr>
      </w:pPr>
      <w:r>
        <w:rPr>
          <w:rFonts w:ascii="Arial" w:cs="Arial" w:eastAsia="Arial" w:hAnsi="Arial"/>
          <w:sz w:val="22"/>
          <w:szCs w:val="22"/>
          <w:color w:val="auto"/>
        </w:rPr>
        <w:t>Possible recalls of our products and/or defective production;</w:t>
      </w:r>
    </w:p>
    <w:p>
      <w:pPr>
        <w:ind w:left="380" w:right="20" w:hanging="372"/>
        <w:spacing w:after="0" w:line="230" w:lineRule="auto"/>
        <w:tabs>
          <w:tab w:leader="none" w:pos="380" w:val="left"/>
        </w:tabs>
        <w:numPr>
          <w:ilvl w:val="0"/>
          <w:numId w:val="26"/>
        </w:numPr>
        <w:rPr>
          <w:rFonts w:ascii="Arial" w:cs="Arial" w:eastAsia="Arial" w:hAnsi="Arial"/>
          <w:sz w:val="22"/>
          <w:szCs w:val="22"/>
          <w:color w:val="auto"/>
        </w:rPr>
      </w:pPr>
      <w:r>
        <w:rPr>
          <w:rFonts w:ascii="Arial" w:cs="Arial" w:eastAsia="Arial" w:hAnsi="Arial"/>
          <w:sz w:val="22"/>
          <w:szCs w:val="22"/>
          <w:color w:val="auto"/>
        </w:rPr>
        <w:t>Our ability to make suitable arrangements for the co-packing of any of our products and/or the timely replacement of discontinued co-packing arrangements;</w:t>
      </w:r>
    </w:p>
    <w:p>
      <w:pPr>
        <w:spacing w:after="0" w:line="1" w:lineRule="exact"/>
        <w:rPr>
          <w:rFonts w:ascii="Arial" w:cs="Arial" w:eastAsia="Arial" w:hAnsi="Arial"/>
          <w:sz w:val="22"/>
          <w:szCs w:val="22"/>
          <w:color w:val="auto"/>
        </w:rPr>
      </w:pPr>
    </w:p>
    <w:p>
      <w:pPr>
        <w:ind w:left="380" w:hanging="372"/>
        <w:spacing w:after="0" w:line="230" w:lineRule="auto"/>
        <w:tabs>
          <w:tab w:leader="none" w:pos="380" w:val="left"/>
        </w:tabs>
        <w:numPr>
          <w:ilvl w:val="0"/>
          <w:numId w:val="26"/>
        </w:numPr>
        <w:rPr>
          <w:rFonts w:ascii="Arial" w:cs="Arial" w:eastAsia="Arial" w:hAnsi="Arial"/>
          <w:sz w:val="22"/>
          <w:szCs w:val="22"/>
          <w:color w:val="auto"/>
        </w:rPr>
      </w:pPr>
      <w:r>
        <w:rPr>
          <w:rFonts w:ascii="Arial" w:cs="Arial" w:eastAsia="Arial" w:hAnsi="Arial"/>
          <w:sz w:val="22"/>
          <w:szCs w:val="22"/>
          <w:color w:val="auto"/>
        </w:rPr>
        <w:t>Our ability to make suitable arrangements for the procurement of non-defective raw materials;</w:t>
      </w:r>
    </w:p>
    <w:p>
      <w:pPr>
        <w:ind w:left="380" w:hanging="372"/>
        <w:spacing w:after="0" w:line="230" w:lineRule="auto"/>
        <w:tabs>
          <w:tab w:leader="none" w:pos="380" w:val="left"/>
        </w:tabs>
        <w:numPr>
          <w:ilvl w:val="0"/>
          <w:numId w:val="26"/>
        </w:numPr>
        <w:rPr>
          <w:rFonts w:ascii="Arial" w:cs="Arial" w:eastAsia="Arial" w:hAnsi="Arial"/>
          <w:sz w:val="22"/>
          <w:szCs w:val="22"/>
          <w:color w:val="auto"/>
        </w:rPr>
      </w:pPr>
      <w:r>
        <w:rPr>
          <w:rFonts w:ascii="Arial" w:cs="Arial" w:eastAsia="Arial" w:hAnsi="Arial"/>
          <w:sz w:val="22"/>
          <w:szCs w:val="22"/>
          <w:color w:val="auto"/>
        </w:rPr>
        <w:t>Our inability to protect and/or the loss of our intellectual property rights and/or our inability to use our trademarks and/or trade names or designs in certain countries;</w:t>
      </w:r>
    </w:p>
    <w:p>
      <w:pPr>
        <w:spacing w:after="0" w:line="1" w:lineRule="exact"/>
        <w:rPr>
          <w:rFonts w:ascii="Arial" w:cs="Arial" w:eastAsia="Arial" w:hAnsi="Arial"/>
          <w:sz w:val="22"/>
          <w:szCs w:val="22"/>
          <w:color w:val="auto"/>
        </w:rPr>
      </w:pPr>
    </w:p>
    <w:p>
      <w:pPr>
        <w:ind w:left="380" w:hanging="372"/>
        <w:spacing w:after="0" w:line="230" w:lineRule="auto"/>
        <w:tabs>
          <w:tab w:leader="none" w:pos="380" w:val="left"/>
        </w:tabs>
        <w:numPr>
          <w:ilvl w:val="0"/>
          <w:numId w:val="26"/>
        </w:numPr>
        <w:rPr>
          <w:rFonts w:ascii="Arial" w:cs="Arial" w:eastAsia="Arial" w:hAnsi="Arial"/>
          <w:sz w:val="22"/>
          <w:szCs w:val="22"/>
          <w:color w:val="auto"/>
        </w:rPr>
      </w:pPr>
      <w:r>
        <w:rPr>
          <w:rFonts w:ascii="Arial" w:cs="Arial" w:eastAsia="Arial" w:hAnsi="Arial"/>
          <w:sz w:val="22"/>
          <w:szCs w:val="22"/>
          <w:color w:val="auto"/>
        </w:rPr>
        <w:t>Volatility of stock prices which may restrict stock sales or other opportunities;</w:t>
      </w:r>
    </w:p>
    <w:p>
      <w:pPr>
        <w:ind w:left="380" w:right="20" w:hanging="372"/>
        <w:spacing w:after="0" w:line="230" w:lineRule="auto"/>
        <w:tabs>
          <w:tab w:leader="none" w:pos="380" w:val="left"/>
        </w:tabs>
        <w:numPr>
          <w:ilvl w:val="0"/>
          <w:numId w:val="26"/>
        </w:numPr>
        <w:rPr>
          <w:rFonts w:ascii="Arial" w:cs="Arial" w:eastAsia="Arial" w:hAnsi="Arial"/>
          <w:sz w:val="22"/>
          <w:szCs w:val="22"/>
          <w:color w:val="auto"/>
        </w:rPr>
      </w:pPr>
      <w:r>
        <w:rPr>
          <w:rFonts w:ascii="Arial" w:cs="Arial" w:eastAsia="Arial" w:hAnsi="Arial"/>
          <w:sz w:val="22"/>
          <w:szCs w:val="22"/>
          <w:color w:val="auto"/>
        </w:rPr>
        <w:t>Provisions in our organizational documents and/or control by insiders which may prevent changes in control even if such changes would be beneficial to other stockholders;</w:t>
      </w:r>
    </w:p>
    <w:p>
      <w:pPr>
        <w:spacing w:after="0" w:line="1" w:lineRule="exact"/>
        <w:rPr>
          <w:rFonts w:ascii="Arial" w:cs="Arial" w:eastAsia="Arial" w:hAnsi="Arial"/>
          <w:sz w:val="22"/>
          <w:szCs w:val="22"/>
          <w:color w:val="auto"/>
        </w:rPr>
      </w:pPr>
    </w:p>
    <w:p>
      <w:pPr>
        <w:ind w:left="380" w:hanging="372"/>
        <w:spacing w:after="0" w:line="230" w:lineRule="auto"/>
        <w:tabs>
          <w:tab w:leader="none" w:pos="380"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failure of our bottlers and contract packers to manufacture our products on a timely basis or at all;</w:t>
      </w:r>
    </w:p>
    <w:p>
      <w:pPr>
        <w:ind w:left="380" w:hanging="372"/>
        <w:spacing w:after="0" w:line="230" w:lineRule="auto"/>
        <w:tabs>
          <w:tab w:leader="none" w:pos="380" w:val="left"/>
        </w:tabs>
        <w:numPr>
          <w:ilvl w:val="0"/>
          <w:numId w:val="26"/>
        </w:numPr>
        <w:rPr>
          <w:rFonts w:ascii="Arial" w:cs="Arial" w:eastAsia="Arial" w:hAnsi="Arial"/>
          <w:sz w:val="22"/>
          <w:szCs w:val="22"/>
          <w:color w:val="auto"/>
        </w:rPr>
      </w:pPr>
      <w:r>
        <w:rPr>
          <w:rFonts w:ascii="Arial" w:cs="Arial" w:eastAsia="Arial" w:hAnsi="Arial"/>
          <w:sz w:val="22"/>
          <w:szCs w:val="22"/>
          <w:color w:val="auto"/>
        </w:rPr>
        <w:t>Exposure to significant liabilities due to litigation, legal or regulatory proceedings;</w:t>
      </w:r>
    </w:p>
    <w:p>
      <w:pPr>
        <w:ind w:left="380" w:right="20" w:hanging="372"/>
        <w:spacing w:after="0" w:line="230" w:lineRule="auto"/>
        <w:tabs>
          <w:tab w:leader="none" w:pos="380" w:val="left"/>
        </w:tabs>
        <w:numPr>
          <w:ilvl w:val="0"/>
          <w:numId w:val="26"/>
        </w:numPr>
        <w:rPr>
          <w:rFonts w:ascii="Arial" w:cs="Arial" w:eastAsia="Arial" w:hAnsi="Arial"/>
          <w:sz w:val="22"/>
          <w:szCs w:val="22"/>
          <w:color w:val="auto"/>
        </w:rPr>
      </w:pPr>
      <w:r>
        <w:rPr>
          <w:rFonts w:ascii="Arial" w:cs="Arial" w:eastAsia="Arial" w:hAnsi="Arial"/>
          <w:sz w:val="22"/>
          <w:szCs w:val="22"/>
          <w:color w:val="auto"/>
        </w:rPr>
        <w:t>Any disruption in and/or lack of effectiveness of our information technology systems that disrupts our business or negatively impacts customer relationships; and</w:t>
      </w:r>
    </w:p>
    <w:p>
      <w:pPr>
        <w:spacing w:after="0" w:line="1" w:lineRule="exact"/>
        <w:rPr>
          <w:rFonts w:ascii="Arial" w:cs="Arial" w:eastAsia="Arial" w:hAnsi="Arial"/>
          <w:sz w:val="22"/>
          <w:szCs w:val="22"/>
          <w:color w:val="auto"/>
        </w:rPr>
      </w:pPr>
    </w:p>
    <w:p>
      <w:pPr>
        <w:ind w:left="380" w:hanging="372"/>
        <w:spacing w:after="0"/>
        <w:tabs>
          <w:tab w:leader="none" w:pos="380" w:val="left"/>
        </w:tabs>
        <w:numPr>
          <w:ilvl w:val="0"/>
          <w:numId w:val="26"/>
        </w:numPr>
        <w:rPr>
          <w:rFonts w:ascii="Arial" w:cs="Arial" w:eastAsia="Arial" w:hAnsi="Arial"/>
          <w:sz w:val="22"/>
          <w:szCs w:val="22"/>
          <w:color w:val="auto"/>
        </w:rPr>
      </w:pPr>
      <w:r>
        <w:rPr>
          <w:rFonts w:ascii="Arial" w:cs="Arial" w:eastAsia="Arial" w:hAnsi="Arial"/>
          <w:sz w:val="22"/>
          <w:szCs w:val="22"/>
          <w:color w:val="auto"/>
        </w:rPr>
        <w:t>Recruitment and retention of senior management, other key employees and our employee base in general.</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The foregoing list of important factors and other risks detailed from time to time in our reports filed with the SEC is not exhaustive. See the section entitled “Risk Factors” in our Form 10-K for the fiscal year ended December 31, 2011, for a more complete discussion of these risks and uncertainties and for other risks and uncertainties. Those factors and the other risk factors described therein are not necessarily all of the important factors that could cause actual results or developments to differ materially from those expressed in any of our forward-looking statements. Other unknown or unpredictable factors also could harm our results. Consequently, our actual results could be materially different from the results described or anticipated by our forward-looking statements, due to the inherent uncertainty of estimates, forecasts and projections and may be better or worse than anticipated. Given these uncertainties, you should not rely on forward-looking statements. Forward-looking statements represent our estimates and assumptions only as of the date that they were made. We expressly disclaim any duty to provide updates to forward-looking statements, and the estimates and assumptions associated with them, after the date of this report, in order to reflect changes in circumstances or expectations or the occurrence of unanticipated events except to the extent required by applicable securities laws.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23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In the normal course of business, our financial position is routinely subject to a variety of risks. The principal market risks (i.e., the risk of loss arising from adverse changes in market rates and prices) to which we are exposed are fluctuations in energy and fuel prices, commodity prices affecting the costs of juice concentrates and other raw materials (including, but not limited to, increases in the price of aluminum for cans, resin for PET plastic bottles, as well as cane sugar and other sweeteners, glucose, sucrose and milk and cream, all of which are used in some or many of our products) and limited availability of certain raw materials. We generally do not use hedging agreements or alternative instruments to manage the risks associated with securing sufficient ingredients or raw materials. We are also subject to market risks with respect to the cost of commodities because our ability to recover increased costs through higher pricing is limited by the competitive environment in which we operate. We do not</w:t>
      </w:r>
    </w:p>
    <w:p>
      <w:pPr>
        <w:sectPr>
          <w:pgSz w:w="11900" w:h="16838" w:orient="portrait"/>
          <w:cols w:equalWidth="0" w:num="1">
            <w:col w:w="11420"/>
          </w:cols>
          <w:pgMar w:left="240" w:top="118" w:right="239" w:bottom="0" w:gutter="0" w:footer="0" w:header="0"/>
        </w:sectPr>
      </w:pPr>
    </w:p>
    <w:bookmarkStart w:id="30" w:name="page31"/>
    <w:bookmarkEnd w:id="30"/>
    <w:p>
      <w:pPr>
        <w:jc w:val="both"/>
        <w:spacing w:after="0" w:line="251" w:lineRule="auto"/>
        <w:rPr>
          <w:sz w:val="20"/>
          <w:szCs w:val="20"/>
          <w:color w:val="auto"/>
        </w:rPr>
      </w:pPr>
      <w:r>
        <w:rPr>
          <w:rFonts w:ascii="Arial" w:cs="Arial" w:eastAsia="Arial" w:hAnsi="Arial"/>
          <w:sz w:val="22"/>
          <w:szCs w:val="22"/>
          <w:color w:val="auto"/>
        </w:rPr>
        <w:t>use derivative financial instruments to protect ourselves from fluctuations in interest rates and do not hedge against fluctuations in commodity prices.</w:t>
      </w:r>
    </w:p>
    <w:p>
      <w:pPr>
        <w:spacing w:after="0" w:line="20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Our gross sales to customers outside of the United States were approximately 23% and 19% of consolidated gross sales for the three-months ended June 30, 2012 and 2011, respectively. Our gross sales to customers outside of the United States were approximately 21% and 19% of consolidated gross sales for the six-months ended June 30, 2012 and 2011, respectively. Our growth strategy includes expanding our international business. As a result, we are subject to risks from changes in foreign currency exchange rates. These changes result in cumulative translation adjustments, which are included in accumulated other comprehensive income (loss). We do not consider the potential loss resulting from a hypothetical 10% adverse change in quoted foreign currency exchange rates as of June 30, 2012 to be significant. For the six-months ended June 30, 2012, we did not use derivative financial instruments to reduce our net exposure to currency fluctuations.</w:t>
      </w:r>
    </w:p>
    <w:p>
      <w:pPr>
        <w:spacing w:after="0" w:line="18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We are primarily exposed to market risks from fluctuations in interest rates and the effects of those fluctuations on the market values of our short-term and long-term investments. Certain of our short-term and long-term investments are subject to interest rate risk because these investments generally include a fixed interest rate. As a result, the market values of these investments are affected by changes in prevailing interest rates. We do not consider the potential loss resulting from a hypothetical 10% adverse change in interest rates as of June 30, 2012 to be significant.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At June 30, 2012, we had $419.2 million in cash and cash equivalents and $471.9 million in short-term and long-term investments including U.S. Treasuries, certificates of deposit, municipal securities (which may have an auction reset feature), U.S. government agency securities and variable rate demand notes. Certain of these investments are subject to general credit, liquidity, market and interest rate risks. At the current time, we are not increasing our investments in auction rate securities.</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23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i w:val="1"/>
          <w:iCs w:val="1"/>
          <w:color w:val="auto"/>
        </w:rPr>
        <w:t xml:space="preserve">Evaluation of Disclosure Controls and Procedures </w:t>
      </w:r>
      <w:r>
        <w:rPr>
          <w:rFonts w:ascii="Arial" w:cs="Arial" w:eastAsia="Arial" w:hAnsi="Arial"/>
          <w:sz w:val="19"/>
          <w:szCs w:val="19"/>
          <w:color w:val="auto"/>
        </w:rPr>
        <w:t>– Under the supervision and with the participation of the Company’s</w:t>
      </w:r>
      <w:r>
        <w:rPr>
          <w:rFonts w:ascii="Arial" w:cs="Arial" w:eastAsia="Arial" w:hAnsi="Arial"/>
          <w:sz w:val="19"/>
          <w:szCs w:val="19"/>
          <w:i w:val="1"/>
          <w:iCs w:val="1"/>
          <w:color w:val="auto"/>
        </w:rPr>
        <w:t xml:space="preserve"> </w:t>
      </w:r>
      <w:r>
        <w:rPr>
          <w:rFonts w:ascii="Arial" w:cs="Arial" w:eastAsia="Arial" w:hAnsi="Arial"/>
          <w:sz w:val="19"/>
          <w:szCs w:val="19"/>
          <w:color w:val="auto"/>
        </w:rPr>
        <w:t>management, including our Chief Executive Officer and Chief Financial Officer, we have evaluated the effectiveness of the design and operation of our disclosure controls and procedures (as defined in Rules 13(a)-15(e) and 15(d)-15(e) of the Exchange Act) as of the end of the period covered by this report. Based upon this evaluation, the Chief Executive Officer and Chief Financial Officer have concluded that our disclosure controls and procedures are adequate and effective to ensure that information we are required to disclose in reports that we file or submit under the Exchange Act is (1) recorded, processed, summarized and reported within the time periods specified in rules and forms of the SEC and (2) accumulated and communicated to our management, including its principal executive and principal financial officers as appropriate to allow timely decisions regarding required disclosures.</w:t>
      </w:r>
    </w:p>
    <w:p>
      <w:pPr>
        <w:spacing w:after="0" w:line="185" w:lineRule="exact"/>
        <w:rPr>
          <w:sz w:val="20"/>
          <w:szCs w:val="20"/>
          <w:color w:val="auto"/>
        </w:rPr>
      </w:pPr>
    </w:p>
    <w:p>
      <w:pPr>
        <w:jc w:val="both"/>
        <w:ind w:firstLine="648"/>
        <w:spacing w:after="0"/>
        <w:rPr>
          <w:sz w:val="20"/>
          <w:szCs w:val="20"/>
          <w:color w:val="auto"/>
        </w:rPr>
      </w:pPr>
      <w:r>
        <w:rPr>
          <w:rFonts w:ascii="Arial" w:cs="Arial" w:eastAsia="Arial" w:hAnsi="Arial"/>
          <w:sz w:val="22"/>
          <w:szCs w:val="22"/>
          <w:i w:val="1"/>
          <w:iCs w:val="1"/>
          <w:color w:val="auto"/>
        </w:rPr>
        <w:t xml:space="preserve">Changes in Internal Control Over Financial Reporting </w:t>
      </w:r>
      <w:r>
        <w:rPr>
          <w:rFonts w:ascii="Arial" w:cs="Arial" w:eastAsia="Arial" w:hAnsi="Arial"/>
          <w:sz w:val="22"/>
          <w:szCs w:val="22"/>
          <w:color w:val="auto"/>
        </w:rPr>
        <w:t>– There were no changes in the Company’s internal controls over</w:t>
      </w:r>
      <w:r>
        <w:rPr>
          <w:rFonts w:ascii="Arial" w:cs="Arial" w:eastAsia="Arial" w:hAnsi="Arial"/>
          <w:sz w:val="22"/>
          <w:szCs w:val="22"/>
          <w:i w:val="1"/>
          <w:iCs w:val="1"/>
          <w:color w:val="auto"/>
        </w:rPr>
        <w:t xml:space="preserve"> </w:t>
      </w:r>
      <w:r>
        <w:rPr>
          <w:rFonts w:ascii="Arial" w:cs="Arial" w:eastAsia="Arial" w:hAnsi="Arial"/>
          <w:sz w:val="22"/>
          <w:szCs w:val="22"/>
          <w:color w:val="auto"/>
        </w:rPr>
        <w:t>financial reporting during the quarter ended June 30, 2012, that have materially affected, or are reasonably likely to materially affect, our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 - OTHER INFORMATION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23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In September 2006, Christopher Chavez purporting to act on behalf of himself and a certain class of consumers filed an action in the Superior Court of the State of California, County of San Francisco, against the Company and its subsidiaries for unfair business practices, false advertising, violation of California Consumers Legal Remedies Act (“CLRA”), fraud, deceit and/or misrepresentation alleging that the Company misleadingly labels its Blue Sky® beverages as manufactured and canned/bottled wholly in Santa Fe, New Mexico. Defendants removed this Superior Court action to the United States District Court for the Northern District of California (the “District Court”) under the Class Action Fairness Act and filed motions for dismissal or transfer. On June 11, 2007, the District Court granted the Company’s motion to dismiss Chavez’s complaint with prejudice. On June 23, 2009, the United States Court of Appeals for the Ninth Circuit (“Ninth Circuit”) filed a memorandum opinion reversing the decision of the District Court and remanded the case to the District Court for further proceedings. The Company filed a motion to dismiss the CLRA claims; the plaintiff filed a motion for a decision on a preemption issue; and the plaintiff filed a motion for class certification. On June 18, 2010, the District Court entered an order certifying the class, ruled that there was no preemption by federal law, and denied the Company’s motion to dismiss. The class that the District Court certified initially consists of all persons who purchased any beverage bearing the Blue Sky mark or brand in the United States at any time between May 16, 2002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18" w:right="239" w:bottom="248" w:gutter="0" w:footer="0" w:header="0"/>
        </w:sectPr>
      </w:pPr>
    </w:p>
    <w:bookmarkStart w:id="31" w:name="page32"/>
    <w:bookmarkEnd w:id="31"/>
    <w:p>
      <w:pPr>
        <w:jc w:val="both"/>
        <w:spacing w:after="0" w:line="248" w:lineRule="auto"/>
        <w:rPr>
          <w:sz w:val="20"/>
          <w:szCs w:val="20"/>
          <w:color w:val="auto"/>
        </w:rPr>
      </w:pPr>
      <w:r>
        <w:rPr>
          <w:rFonts w:ascii="Arial" w:cs="Arial" w:eastAsia="Arial" w:hAnsi="Arial"/>
          <w:sz w:val="21"/>
          <w:szCs w:val="21"/>
          <w:color w:val="auto"/>
        </w:rPr>
        <w:t>and June 30, 2006. On September 9, 2010, the District Court approved the form of the class notice and its distribution plan; and set an opt-out date of December 10, 2010. On January 27, 2012, the parties entered into a settlement agreement on terms acceptable to the Company. On June 1, 2012, the District Court granted final approval of the settlement and entered judgment. On June 26, 2012, an objector to the settlement filed a notice appealing the District Court’s judgment, which is now pending in the Ninth Circuit Court of Appeals. The Company does not believe that the settlement or the pending appeal will have a material adverse effect on the Company’s financial position or results of operations.</w:t>
      </w:r>
    </w:p>
    <w:p>
      <w:pPr>
        <w:spacing w:after="0" w:line="20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In May 2009, Avraham Wellman, purporting to act on behalf of himself and a class of consumers in Canada, filed a putative class action in the Ontario Superior Court of Justice, in the City of Toronto, Ontario, Canada, against the Company and its former Canadian distributor, Pepsi-Cola Canada Ltd., as defendants. The plaintiff alleges that the defendants misleadingly packaged and labeled Monster Energy® products in Canada by not including sufficiently specific statements with respect to contra-indications and/or adverse reactions associated with the consumption of the energy drink products. The plaintiff’s claims against the defendants are for negligence, unjust enrichment, and making misleading/false representations in violation of the Competition Act (Canada), the Food and Drugs Act (Canada) and the Consumer Protection Act, 2002 (Ontario). The plaintiff claims general damages on behalf of the putative class in the amount of CDN$20 million, together with punitive damages of CDN$5 million, plus legal costs and interest. The plaintiff’s certification motion materials have not yet been filed. The Company believes that any such damages, if awarded, would not have a material adverse effect on the Company’s financial position or results of operations. In accordance with class action practices in Ontario, the Company will not file an answer to the complaint until after the determination of the certification motion. The Company believes that the plaintiff’s complaint is without merit and plans a vigorous defense.</w:t>
      </w:r>
    </w:p>
    <w:p>
      <w:pPr>
        <w:spacing w:after="0" w:line="18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i w:val="1"/>
          <w:iCs w:val="1"/>
          <w:color w:val="auto"/>
        </w:rPr>
        <w:t xml:space="preserve">Securities Litigation </w:t>
      </w:r>
      <w:r>
        <w:rPr>
          <w:rFonts w:ascii="Arial" w:cs="Arial" w:eastAsia="Arial" w:hAnsi="Arial"/>
          <w:sz w:val="22"/>
          <w:szCs w:val="22"/>
          <w:color w:val="auto"/>
        </w:rPr>
        <w:t>— On September 11, 2008, a federal securities class action complaint styled</w:t>
      </w:r>
      <w:r>
        <w:rPr>
          <w:rFonts w:ascii="Arial" w:cs="Arial" w:eastAsia="Arial" w:hAnsi="Arial"/>
          <w:sz w:val="22"/>
          <w:szCs w:val="22"/>
          <w:i w:val="1"/>
          <w:iCs w:val="1"/>
          <w:color w:val="auto"/>
        </w:rPr>
        <w:t xml:space="preserve"> Cunha v. Hansen Natural Corp., et al. </w:t>
      </w:r>
      <w:r>
        <w:rPr>
          <w:rFonts w:ascii="Arial" w:cs="Arial" w:eastAsia="Arial" w:hAnsi="Arial"/>
          <w:sz w:val="22"/>
          <w:szCs w:val="22"/>
          <w:color w:val="auto"/>
        </w:rPr>
        <w:t>was filed in the United States District Court for the Central District of California (the “District Court”). On</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September 17, 2008, a second federal securities class action complaint styled </w:t>
      </w:r>
      <w:r>
        <w:rPr>
          <w:rFonts w:ascii="Arial" w:cs="Arial" w:eastAsia="Arial" w:hAnsi="Arial"/>
          <w:sz w:val="22"/>
          <w:szCs w:val="22"/>
          <w:i w:val="1"/>
          <w:iCs w:val="1"/>
          <w:color w:val="auto"/>
        </w:rPr>
        <w:t>Brown v. Hansen Natural Corp., et al.</w:t>
      </w:r>
      <w:r>
        <w:rPr>
          <w:rFonts w:ascii="Arial" w:cs="Arial" w:eastAsia="Arial" w:hAnsi="Arial"/>
          <w:sz w:val="22"/>
          <w:szCs w:val="22"/>
          <w:color w:val="auto"/>
        </w:rPr>
        <w:t xml:space="preserve"> was also filed in the District Court.</w:t>
      </w:r>
    </w:p>
    <w:p>
      <w:pPr>
        <w:spacing w:after="0" w:line="21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On July 14, 2009, the District Court entered an order consolidating the actions and appointing lead counsel and the Structural Ironworkers Local Union #1 Pension Fund as lead plaintiff. On August 28, 2009, lead plaintiff filed a Consolidated Complaint for Violations of Federal Securities Laws (the “Consolidated Class Action Complaint”). The Consolidated Class Action Complaint purported to be brought on behalf of a class of purchasers of the Company’s stock during the period November 9, 2006 through November 8, 2007 (the “Class Period”). It named as defendants the Company, Rodney C. Sacks, Hilton H. Schlosberg, and Thomas J. Kelly. Plaintiff principally alleged that, during the Class Period, the defendants made false and misleading statements relating to the Company’s distribution coordination agreements with Anheuser-Busch, Inc. (“AB”) and its sales of “Allied” energy drink lines, and engaged in sales of shares in the Company on the basis of material non-public information. Plaintiff also alleged that the Company’s financial statements for the second quarter of 2007 did not include certain promotional expenses. The Consolidated Class Action Complaint alleged violations of Sections 10(b) and 20(a) of the Securities Exchange Act of 1934, as amended (the “Exchange Act”) and Rule 10b-5 promulgated thereunder, and sought an unspecified amount of damages.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On November 16, 2009, the defendants filed their motion to dismiss the Consolidated Class Action Complaint pursuant to Federal Rules of Civil Procedure 12(b)(6) and 9(b), as well as the Private Securities Litigation Reform Act. On July 12, 2010, following a hearing, the District Court granted the defendants’ motion to dismiss the Consolidated Class Action Complaint, with leave to amend, on the grounds, among others, that it failed to specify which statements plaintiff claimed were false or misleading, failed adequately to allege that certain statements were actionable or false or misleading, and failed adequately to demonstrate that defendants acted with scienter.</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On August 27, 2010, plaintiff filed a Consolidated Amended Class Action Complaint for Violations of Federal Securities Laws (the “Amended Class Action Complaint”). While similar in many respects to the Consolidated Class Action Complaint, the Amended Class Action Complaint drops certain of the allegations set forth in the Consolidated Class Action Complaint and makes certain new allegations, including that the Company engaged in “channel stuffing” during the Class Period that rendered false or misleading the Company’s reported sales results and certain other statements made by the defendants. In addition, it no longer names Thomas J. Kelly as a defendant. The Amended Class Action Complaint continues to allege violations of Sections 10(b) and 20(a) of the Exchange Act and Rule 10b-5 promulgated thereunder, and seeks an unspecified amount of damages.</w:t>
      </w:r>
    </w:p>
    <w:p>
      <w:pPr>
        <w:spacing w:after="0" w:line="180"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Defendants filed a motion to dismiss the Amended Class Action Complaint on November 8, 2010. At a hearing on defendants’ motion to dismiss the Amended Class Action Complaint held on May 12, 2011, the District Court issued a tentative ruling that would grant the motion to dismiss as to certain of plaintiff’s claims, but would deny the motion to dismiss with regard to the majority of plaintiff’s claims. The District Court has not, however, issued a final ruling. The District Court held an additional hearing on the motion to dismiss on May 25, 2011, and has received supplemental submissions from the parties. Defendants’ motion to dismiss remains sub judice.</w:t>
      </w:r>
    </w:p>
    <w:p>
      <w:pPr>
        <w:spacing w:after="0" w:line="21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Amended Class Action Complaint seeks an unspecified amount of damages. As a result, the amount or range of reasonably possible litigation losses to which the Company is exposed cannot be estimated. Although the ultimate outcome of this action cannot be determined with certainty, the Company believes that the allegations in the Amended Class Action Complaint are without merit. The Company intends to vigorously defend against this lawsuit.</w:t>
      </w:r>
    </w:p>
    <w:p>
      <w:pPr>
        <w:sectPr>
          <w:pgSz w:w="11900" w:h="16838" w:orient="portrait"/>
          <w:cols w:equalWidth="0" w:num="1">
            <w:col w:w="11420"/>
          </w:cols>
          <w:pgMar w:left="240" w:top="118" w:right="239" w:bottom="0" w:gutter="0" w:footer="0" w:header="0"/>
        </w:sectPr>
      </w:pPr>
    </w:p>
    <w:bookmarkStart w:id="32" w:name="page33"/>
    <w:bookmarkEnd w:id="32"/>
    <w:p>
      <w:pPr>
        <w:jc w:val="both"/>
        <w:ind w:firstLine="648"/>
        <w:spacing w:after="0" w:line="282" w:lineRule="auto"/>
        <w:rPr>
          <w:sz w:val="20"/>
          <w:szCs w:val="20"/>
          <w:color w:val="auto"/>
        </w:rPr>
      </w:pPr>
      <w:r>
        <w:rPr>
          <w:rFonts w:ascii="Arial" w:cs="Arial" w:eastAsia="Arial" w:hAnsi="Arial"/>
          <w:sz w:val="19"/>
          <w:szCs w:val="19"/>
          <w:i w:val="1"/>
          <w:iCs w:val="1"/>
          <w:color w:val="auto"/>
        </w:rPr>
        <w:t xml:space="preserve">State Attorney General Inquiry </w:t>
      </w:r>
      <w:r>
        <w:rPr>
          <w:rFonts w:ascii="Arial" w:cs="Arial" w:eastAsia="Arial" w:hAnsi="Arial"/>
          <w:sz w:val="19"/>
          <w:szCs w:val="19"/>
          <w:color w:val="auto"/>
        </w:rPr>
        <w:t>— In July 2012, the Company received a subpoena from a state attorney general in</w:t>
      </w:r>
      <w:r>
        <w:rPr>
          <w:rFonts w:ascii="Arial" w:cs="Arial" w:eastAsia="Arial" w:hAnsi="Arial"/>
          <w:sz w:val="19"/>
          <w:szCs w:val="19"/>
          <w:i w:val="1"/>
          <w:iCs w:val="1"/>
          <w:color w:val="auto"/>
        </w:rPr>
        <w:t xml:space="preserve"> </w:t>
      </w:r>
      <w:r>
        <w:rPr>
          <w:rFonts w:ascii="Arial" w:cs="Arial" w:eastAsia="Arial" w:hAnsi="Arial"/>
          <w:sz w:val="19"/>
          <w:szCs w:val="19"/>
          <w:color w:val="auto"/>
        </w:rPr>
        <w:t>connection with an investigation concerning the Company’s advertising, marketing, promotion, ingredients, usage and sale of its Monster Energy® brand of energy drinks. As the investigation is in an early stage, it is unknown what, if any, action the state attorney general may take against the Company, the relief which may be sought in the event of any such proceeding or whether such proceeding could have a material adverse effect on the Company’s business, financial condition or results of operations.</w:t>
      </w:r>
    </w:p>
    <w:p>
      <w:pPr>
        <w:spacing w:after="0" w:line="175" w:lineRule="exact"/>
        <w:rPr>
          <w:sz w:val="20"/>
          <w:szCs w:val="20"/>
          <w:color w:val="auto"/>
        </w:rPr>
      </w:pPr>
    </w:p>
    <w:p>
      <w:pPr>
        <w:jc w:val="both"/>
        <w:ind w:firstLine="702"/>
        <w:spacing w:after="0" w:line="252" w:lineRule="auto"/>
        <w:rPr>
          <w:sz w:val="20"/>
          <w:szCs w:val="20"/>
          <w:color w:val="auto"/>
        </w:rPr>
      </w:pPr>
      <w:r>
        <w:rPr>
          <w:rFonts w:ascii="Arial" w:cs="Arial" w:eastAsia="Arial" w:hAnsi="Arial"/>
          <w:sz w:val="21"/>
          <w:szCs w:val="21"/>
          <w:color w:val="auto"/>
        </w:rPr>
        <w:t>In addition to the above matters, the Company is subject to litigation from time to time in the normal course of business, including claims from terminated distributors. Although it is not possible to predict the outcome of such litigation, based on the facts known to the Company and after consultation with counsel, management believes that such litigation in the aggregate will likely not have a material adverse effect on the Company’s financial position or results of operations.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tabs>
          <w:tab w:leader="none" w:pos="1260" w:val="left"/>
        </w:tabs>
        <w:rPr>
          <w:sz w:val="20"/>
          <w:szCs w:val="20"/>
          <w:color w:val="auto"/>
        </w:rPr>
      </w:pPr>
      <w:r>
        <w:rPr>
          <w:rFonts w:ascii="Arial" w:cs="Arial" w:eastAsia="Arial" w:hAnsi="Arial"/>
          <w:sz w:val="22"/>
          <w:szCs w:val="22"/>
          <w:b w:val="1"/>
          <w:bCs w:val="1"/>
          <w:color w:val="auto"/>
        </w:rPr>
        <w:t>ITEM 1A.</w:t>
      </w:r>
      <w:r>
        <w:rPr>
          <w:sz w:val="20"/>
          <w:szCs w:val="20"/>
          <w:color w:val="auto"/>
        </w:rPr>
        <w:tab/>
      </w:r>
      <w:r>
        <w:rPr>
          <w:rFonts w:ascii="Arial" w:cs="Arial" w:eastAsia="Arial" w:hAnsi="Arial"/>
          <w:sz w:val="21"/>
          <w:szCs w:val="21"/>
          <w:b w:val="1"/>
          <w:bCs w:val="1"/>
          <w:color w:val="auto"/>
        </w:rPr>
        <w:t>RISK FACTORS</w:t>
      </w:r>
    </w:p>
    <w:p>
      <w:pPr>
        <w:spacing w:after="0" w:line="239"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21"/>
          <w:szCs w:val="21"/>
          <w:color w:val="auto"/>
        </w:rPr>
        <w:t>Our Risk Factors are discussed in our Annual Report on Form 10-K for the fiscal year ended December 31, 2011. There have been no material changes with respect to the risk factors disclosed in our Form 10-K, except for the following:</w:t>
      </w:r>
    </w:p>
    <w:p>
      <w:pPr>
        <w:spacing w:after="0" w:line="178" w:lineRule="exact"/>
        <w:rPr>
          <w:sz w:val="20"/>
          <w:szCs w:val="20"/>
          <w:color w:val="auto"/>
        </w:rPr>
      </w:pPr>
    </w:p>
    <w:p>
      <w:pPr>
        <w:jc w:val="both"/>
        <w:spacing w:after="0" w:line="328" w:lineRule="auto"/>
        <w:rPr>
          <w:sz w:val="20"/>
          <w:szCs w:val="20"/>
          <w:color w:val="auto"/>
        </w:rPr>
      </w:pPr>
      <w:r>
        <w:rPr>
          <w:rFonts w:ascii="Arial" w:cs="Arial" w:eastAsia="Arial" w:hAnsi="Arial"/>
          <w:sz w:val="19"/>
          <w:szCs w:val="19"/>
          <w:i w:val="1"/>
          <w:iCs w:val="1"/>
          <w:color w:val="auto"/>
        </w:rPr>
        <w:t>We cannot predict the effect of inquiries from and/or actions by attorneys general and/or other government agencies and/or quasi-government agencies into the advertising, marketing, promotion, ingredients, usage and/or sale of our energy drink products.</w:t>
      </w:r>
    </w:p>
    <w:p>
      <w:pPr>
        <w:spacing w:after="0" w:line="13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We are subject to the risks of investigations and/or enforcement actions by state attorneys general and/or other government and/or quasi-governmental agencies relating to the advertising, marketing, promotion, ingredients, usage and/or sale of our energy drinks. In July 2012, we received a subpoena from a state attorney general in connection with an investigation relating to the advertising, marketing, promotion, ingredients, usage and sale of our Monster Energy® brand energy drinks. As the investigation is in an early stage, we cannot predict the outcome of this inquiry and what, if any, effect it may have on our business, financial condition or results of operations. If an inquiry by a state attorney general or other government or quasi-government agency finds that our products and/or the advertising, marketing, promotion, ingredients, usage and/or sale of such products are not in compliance with applicable laws or regulations, we may become subject to fines, product reformulations, container changes, changes in the usage or sale of our energy drink products and/or changes in our advertising, marketing and promotion practices, each of which could have an adverse effect on our business, financial condition or results of operations.</w:t>
      </w:r>
    </w:p>
    <w:p>
      <w:pPr>
        <w:spacing w:after="0" w:line="189" w:lineRule="exact"/>
        <w:rPr>
          <w:sz w:val="20"/>
          <w:szCs w:val="20"/>
          <w:color w:val="auto"/>
        </w:rPr>
      </w:pPr>
    </w:p>
    <w:p>
      <w:pPr>
        <w:jc w:val="both"/>
        <w:spacing w:after="0" w:line="251" w:lineRule="auto"/>
        <w:rPr>
          <w:sz w:val="20"/>
          <w:szCs w:val="20"/>
          <w:color w:val="auto"/>
        </w:rPr>
      </w:pPr>
      <w:r>
        <w:rPr>
          <w:rFonts w:ascii="Arial" w:cs="Arial" w:eastAsia="Arial" w:hAnsi="Arial"/>
          <w:sz w:val="22"/>
          <w:szCs w:val="22"/>
          <w:i w:val="1"/>
          <w:iCs w:val="1"/>
          <w:color w:val="auto"/>
        </w:rPr>
        <w:t>Legislative and regulatory initiatives by local governments, and potentially by federal and state governments and/or agencies, relating to the packaging of sweetened beverages could result in lower sales.</w:t>
      </w:r>
    </w:p>
    <w:p>
      <w:pPr>
        <w:spacing w:after="0" w:line="20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We currently package certain of our Monster Energy® drinks and Peace Tea® iced teas in aluminum cans larger than 16 fluid ounces. New York City recently proposed a ban prohibiting the sale, in certain sales channels (mainly food service establishments), of certain sweetened drinks in a single container larger than 16 fluid ounces. The mayor of Cambridge, Massachusetts has proposed a similar initiative as well. Although current proposals would not extend to beverages sold in the majority of our distribution channels such as grocery stores, club stores or convenience stores, we cannot predict whether any such channel sales might be added to the New York City or Cambridge proposals, or similar proposals by other federal, state or local agencies in the future. Should future proposals to limit or restrict the size of packaging of sweetened beverages, including energy drinks and iced teas, be enacted by the federal government, states, counties and/or other jurisdictions or agencies, such legislation could result in a reduction in sales and adversely affect our results of operations.</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21"/>
          <w:szCs w:val="21"/>
          <w:b w:val="1"/>
          <w:bCs w:val="1"/>
          <w:color w:val="auto"/>
        </w:rPr>
        <w:t>UNREGISTERED SALES OF EQUITY SECURITIES AND USE OF PROCEEDS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None.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tabs>
          <w:tab w:leader="none" w:pos="12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1"/>
          <w:szCs w:val="21"/>
          <w:b w:val="1"/>
          <w:bCs w:val="1"/>
          <w:color w:val="auto"/>
        </w:rPr>
        <w:t>DEFAULTS UPON SENIOR SECURITIES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None.</w:t>
      </w:r>
    </w:p>
    <w:p>
      <w:pPr>
        <w:spacing w:after="0" w:line="227" w:lineRule="exact"/>
        <w:rPr>
          <w:sz w:val="20"/>
          <w:szCs w:val="20"/>
          <w:color w:val="auto"/>
        </w:rPr>
      </w:pPr>
    </w:p>
    <w:p>
      <w:pPr>
        <w:spacing w:after="0"/>
        <w:tabs>
          <w:tab w:leader="none" w:pos="12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21"/>
          <w:szCs w:val="21"/>
          <w:b w:val="1"/>
          <w:bCs w:val="1"/>
          <w:color w:val="auto"/>
        </w:rPr>
        <w:t>MINE SAFETY DISCLOSURES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spacing w:after="0"/>
        <w:tabs>
          <w:tab w:leader="none" w:pos="12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22"/>
          <w:szCs w:val="22"/>
          <w:b w:val="1"/>
          <w:bCs w:val="1"/>
          <w:color w:val="auto"/>
        </w:rPr>
        <w:t>OTHER INFORMATION</w:t>
      </w:r>
    </w:p>
    <w:p>
      <w:pPr>
        <w:sectPr>
          <w:pgSz w:w="11900" w:h="16838" w:orient="portrait"/>
          <w:cols w:equalWidth="0" w:num="1">
            <w:col w:w="11420"/>
          </w:cols>
          <w:pgMar w:left="240" w:top="361" w:right="239" w:bottom="53"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75"/>
        </w:trPr>
        <w:tc>
          <w:tcPr>
            <w:tcW w:w="1240" w:type="dxa"/>
            <w:vAlign w:val="bottom"/>
          </w:tcPr>
          <w:p>
            <w:pPr>
              <w:ind w:left="660"/>
              <w:spacing w:after="0"/>
              <w:rPr>
                <w:sz w:val="20"/>
                <w:szCs w:val="20"/>
                <w:color w:val="auto"/>
              </w:rPr>
            </w:pPr>
            <w:r>
              <w:rPr>
                <w:rFonts w:ascii="Arial" w:cs="Arial" w:eastAsia="Arial" w:hAnsi="Arial"/>
                <w:sz w:val="22"/>
                <w:szCs w:val="22"/>
                <w:color w:val="auto"/>
                <w:w w:val="95"/>
              </w:rPr>
              <w:t>None.</w:t>
            </w:r>
          </w:p>
        </w:tc>
        <w:tc>
          <w:tcPr>
            <w:tcW w:w="10180" w:type="dxa"/>
            <w:vAlign w:val="bottom"/>
          </w:tcPr>
          <w:p>
            <w:pPr>
              <w:spacing w:after="0"/>
              <w:rPr>
                <w:sz w:val="23"/>
                <w:szCs w:val="23"/>
                <w:color w:val="auto"/>
              </w:rPr>
            </w:pPr>
          </w:p>
        </w:tc>
      </w:tr>
      <w:tr>
        <w:trPr>
          <w:trHeight w:val="486"/>
        </w:trPr>
        <w:tc>
          <w:tcPr>
            <w:tcW w:w="1240" w:type="dxa"/>
            <w:vAlign w:val="bottom"/>
          </w:tcPr>
          <w:p>
            <w:pPr>
              <w:spacing w:after="0"/>
              <w:rPr>
                <w:sz w:val="20"/>
                <w:szCs w:val="20"/>
                <w:color w:val="auto"/>
              </w:rPr>
            </w:pPr>
            <w:r>
              <w:rPr>
                <w:rFonts w:ascii="Arial" w:cs="Arial" w:eastAsia="Arial" w:hAnsi="Arial"/>
                <w:sz w:val="22"/>
                <w:szCs w:val="22"/>
                <w:b w:val="1"/>
                <w:bCs w:val="1"/>
                <w:color w:val="auto"/>
              </w:rPr>
              <w:t>ITEM 6.</w:t>
            </w:r>
          </w:p>
        </w:tc>
        <w:tc>
          <w:tcPr>
            <w:tcW w:w="10180" w:type="dxa"/>
            <w:vAlign w:val="bottom"/>
          </w:tcPr>
          <w:p>
            <w:pPr>
              <w:ind w:left="40"/>
              <w:spacing w:after="0"/>
              <w:rPr>
                <w:sz w:val="20"/>
                <w:szCs w:val="20"/>
                <w:color w:val="auto"/>
              </w:rPr>
            </w:pPr>
            <w:r>
              <w:rPr>
                <w:rFonts w:ascii="Arial" w:cs="Arial" w:eastAsia="Arial" w:hAnsi="Arial"/>
                <w:sz w:val="22"/>
                <w:szCs w:val="22"/>
                <w:b w:val="1"/>
                <w:bCs w:val="1"/>
                <w:color w:val="auto"/>
              </w:rPr>
              <w:t>EXHIBITS</w:t>
            </w:r>
          </w:p>
        </w:tc>
      </w:tr>
      <w:tr>
        <w:trPr>
          <w:trHeight w:val="486"/>
        </w:trPr>
        <w:tc>
          <w:tcPr>
            <w:tcW w:w="1240" w:type="dxa"/>
            <w:vAlign w:val="bottom"/>
          </w:tcPr>
          <w:p>
            <w:pPr>
              <w:spacing w:after="0"/>
              <w:rPr>
                <w:sz w:val="20"/>
                <w:szCs w:val="20"/>
                <w:color w:val="auto"/>
              </w:rPr>
            </w:pPr>
            <w:r>
              <w:rPr>
                <w:rFonts w:ascii="Arial" w:cs="Arial" w:eastAsia="Arial" w:hAnsi="Arial"/>
                <w:sz w:val="22"/>
                <w:szCs w:val="22"/>
                <w:color w:val="auto"/>
              </w:rPr>
              <w:t>31.1*</w:t>
            </w:r>
          </w:p>
        </w:tc>
        <w:tc>
          <w:tcPr>
            <w:tcW w:w="10180" w:type="dxa"/>
            <w:vAlign w:val="bottom"/>
          </w:tcPr>
          <w:p>
            <w:pPr>
              <w:ind w:left="60"/>
              <w:spacing w:after="0"/>
              <w:rPr>
                <w:sz w:val="20"/>
                <w:szCs w:val="20"/>
                <w:color w:val="auto"/>
              </w:rPr>
            </w:pPr>
            <w:r>
              <w:rPr>
                <w:rFonts w:ascii="Arial" w:cs="Arial" w:eastAsia="Arial" w:hAnsi="Arial"/>
                <w:sz w:val="22"/>
                <w:szCs w:val="22"/>
                <w:color w:val="auto"/>
              </w:rPr>
              <w:t>Certification of Chief Executive Officer Pursuant to Section 302 of the Sarbanes-Oxley Act of 2002</w:t>
            </w:r>
          </w:p>
        </w:tc>
      </w:tr>
      <w:tr>
        <w:trPr>
          <w:trHeight w:val="486"/>
        </w:trPr>
        <w:tc>
          <w:tcPr>
            <w:tcW w:w="1240" w:type="dxa"/>
            <w:vAlign w:val="bottom"/>
          </w:tcPr>
          <w:p>
            <w:pPr>
              <w:spacing w:after="0"/>
              <w:rPr>
                <w:sz w:val="20"/>
                <w:szCs w:val="20"/>
                <w:color w:val="auto"/>
              </w:rPr>
            </w:pPr>
            <w:r>
              <w:rPr>
                <w:rFonts w:ascii="Arial" w:cs="Arial" w:eastAsia="Arial" w:hAnsi="Arial"/>
                <w:sz w:val="22"/>
                <w:szCs w:val="22"/>
                <w:color w:val="auto"/>
              </w:rPr>
              <w:t>31.2*</w:t>
            </w:r>
          </w:p>
        </w:tc>
        <w:tc>
          <w:tcPr>
            <w:tcW w:w="10180" w:type="dxa"/>
            <w:vAlign w:val="bottom"/>
          </w:tcPr>
          <w:p>
            <w:pPr>
              <w:ind w:left="60"/>
              <w:spacing w:after="0"/>
              <w:rPr>
                <w:sz w:val="20"/>
                <w:szCs w:val="20"/>
                <w:color w:val="auto"/>
              </w:rPr>
            </w:pPr>
            <w:r>
              <w:rPr>
                <w:rFonts w:ascii="Arial" w:cs="Arial" w:eastAsia="Arial" w:hAnsi="Arial"/>
                <w:sz w:val="22"/>
                <w:szCs w:val="22"/>
                <w:color w:val="auto"/>
              </w:rPr>
              <w:t>Certification of Chief Financial Officer Pursuant to Section 302 of the Sarbanes-Oxley Act of 2002</w:t>
            </w:r>
          </w:p>
        </w:tc>
      </w:tr>
      <w:tr>
        <w:trPr>
          <w:trHeight w:val="455"/>
        </w:trPr>
        <w:tc>
          <w:tcPr>
            <w:tcW w:w="1240" w:type="dxa"/>
            <w:vAlign w:val="bottom"/>
          </w:tcPr>
          <w:p>
            <w:pPr>
              <w:spacing w:after="0"/>
              <w:rPr>
                <w:sz w:val="20"/>
                <w:szCs w:val="20"/>
                <w:color w:val="auto"/>
              </w:rPr>
            </w:pPr>
            <w:r>
              <w:rPr>
                <w:rFonts w:ascii="Arial" w:cs="Arial" w:eastAsia="Arial" w:hAnsi="Arial"/>
                <w:sz w:val="22"/>
                <w:szCs w:val="22"/>
                <w:color w:val="auto"/>
              </w:rPr>
              <w:t>32.1*</w:t>
            </w:r>
          </w:p>
        </w:tc>
        <w:tc>
          <w:tcPr>
            <w:tcW w:w="10180" w:type="dxa"/>
            <w:vAlign w:val="bottom"/>
          </w:tcPr>
          <w:p>
            <w:pPr>
              <w:jc w:val="right"/>
              <w:spacing w:after="0"/>
              <w:rPr>
                <w:sz w:val="20"/>
                <w:szCs w:val="20"/>
                <w:color w:val="auto"/>
              </w:rPr>
            </w:pPr>
            <w:r>
              <w:rPr>
                <w:rFonts w:ascii="Arial" w:cs="Arial" w:eastAsia="Arial" w:hAnsi="Arial"/>
                <w:sz w:val="22"/>
                <w:szCs w:val="22"/>
                <w:color w:val="auto"/>
                <w:w w:val="91"/>
              </w:rPr>
              <w:t>Certification of Chief Executive Officer Pursuant to 18 U.S.C. Section 1350, as Adopted Pursuant to Section 906 of</w:t>
            </w:r>
          </w:p>
        </w:tc>
      </w:tr>
      <w:tr>
        <w:trPr>
          <w:trHeight w:val="275"/>
        </w:trPr>
        <w:tc>
          <w:tcPr>
            <w:tcW w:w="1240" w:type="dxa"/>
            <w:vAlign w:val="bottom"/>
          </w:tcPr>
          <w:p>
            <w:pPr>
              <w:spacing w:after="0"/>
              <w:rPr>
                <w:sz w:val="23"/>
                <w:szCs w:val="23"/>
                <w:color w:val="auto"/>
              </w:rPr>
            </w:pPr>
          </w:p>
        </w:tc>
        <w:tc>
          <w:tcPr>
            <w:tcW w:w="10180" w:type="dxa"/>
            <w:vAlign w:val="bottom"/>
          </w:tcPr>
          <w:p>
            <w:pPr>
              <w:ind w:left="60"/>
              <w:spacing w:after="0"/>
              <w:rPr>
                <w:sz w:val="20"/>
                <w:szCs w:val="20"/>
                <w:color w:val="auto"/>
              </w:rPr>
            </w:pPr>
            <w:r>
              <w:rPr>
                <w:rFonts w:ascii="Arial" w:cs="Arial" w:eastAsia="Arial" w:hAnsi="Arial"/>
                <w:sz w:val="22"/>
                <w:szCs w:val="22"/>
                <w:color w:val="auto"/>
              </w:rPr>
              <w:t>the Sarbanes-Oxley Act of 2002</w:t>
            </w:r>
          </w:p>
        </w:tc>
      </w:tr>
      <w:tr>
        <w:trPr>
          <w:trHeight w:val="455"/>
        </w:trPr>
        <w:tc>
          <w:tcPr>
            <w:tcW w:w="1240" w:type="dxa"/>
            <w:vAlign w:val="bottom"/>
          </w:tcPr>
          <w:p>
            <w:pPr>
              <w:spacing w:after="0"/>
              <w:rPr>
                <w:sz w:val="20"/>
                <w:szCs w:val="20"/>
                <w:color w:val="auto"/>
              </w:rPr>
            </w:pPr>
            <w:r>
              <w:rPr>
                <w:rFonts w:ascii="Arial" w:cs="Arial" w:eastAsia="Arial" w:hAnsi="Arial"/>
                <w:sz w:val="22"/>
                <w:szCs w:val="22"/>
                <w:color w:val="auto"/>
              </w:rPr>
              <w:t>32.2*</w:t>
            </w:r>
          </w:p>
        </w:tc>
        <w:tc>
          <w:tcPr>
            <w:tcW w:w="10180" w:type="dxa"/>
            <w:vAlign w:val="bottom"/>
          </w:tcPr>
          <w:p>
            <w:pPr>
              <w:jc w:val="right"/>
              <w:spacing w:after="0"/>
              <w:rPr>
                <w:sz w:val="20"/>
                <w:szCs w:val="20"/>
                <w:color w:val="auto"/>
              </w:rPr>
            </w:pPr>
            <w:r>
              <w:rPr>
                <w:rFonts w:ascii="Arial" w:cs="Arial" w:eastAsia="Arial" w:hAnsi="Arial"/>
                <w:sz w:val="22"/>
                <w:szCs w:val="22"/>
                <w:color w:val="auto"/>
                <w:w w:val="91"/>
              </w:rPr>
              <w:t>Certification by Chief Financial Officer Pursuant to 18 U.S.C. Section 1350, as Adopted Pursuant to Section 906 of</w:t>
            </w:r>
          </w:p>
        </w:tc>
      </w:tr>
      <w:tr>
        <w:trPr>
          <w:trHeight w:val="275"/>
        </w:trPr>
        <w:tc>
          <w:tcPr>
            <w:tcW w:w="1240" w:type="dxa"/>
            <w:vAlign w:val="bottom"/>
          </w:tcPr>
          <w:p>
            <w:pPr>
              <w:spacing w:after="0"/>
              <w:rPr>
                <w:sz w:val="23"/>
                <w:szCs w:val="23"/>
                <w:color w:val="auto"/>
              </w:rPr>
            </w:pPr>
          </w:p>
        </w:tc>
        <w:tc>
          <w:tcPr>
            <w:tcW w:w="10180" w:type="dxa"/>
            <w:vAlign w:val="bottom"/>
          </w:tcPr>
          <w:p>
            <w:pPr>
              <w:ind w:left="60"/>
              <w:spacing w:after="0"/>
              <w:rPr>
                <w:sz w:val="20"/>
                <w:szCs w:val="20"/>
                <w:color w:val="auto"/>
              </w:rPr>
            </w:pPr>
            <w:r>
              <w:rPr>
                <w:rFonts w:ascii="Arial" w:cs="Arial" w:eastAsia="Arial" w:hAnsi="Arial"/>
                <w:sz w:val="22"/>
                <w:szCs w:val="22"/>
                <w:color w:val="auto"/>
              </w:rPr>
              <w:t>the Sarbanes-Oxley Act of 2002</w:t>
            </w:r>
          </w:p>
        </w:tc>
      </w:tr>
      <w:tr>
        <w:trPr>
          <w:trHeight w:val="455"/>
        </w:trPr>
        <w:tc>
          <w:tcPr>
            <w:tcW w:w="1240" w:type="dxa"/>
            <w:vAlign w:val="bottom"/>
          </w:tcPr>
          <w:p>
            <w:pPr>
              <w:spacing w:after="0"/>
              <w:rPr>
                <w:sz w:val="20"/>
                <w:szCs w:val="20"/>
                <w:color w:val="auto"/>
              </w:rPr>
            </w:pPr>
            <w:r>
              <w:rPr>
                <w:rFonts w:ascii="Arial" w:cs="Arial" w:eastAsia="Arial" w:hAnsi="Arial"/>
                <w:sz w:val="22"/>
                <w:szCs w:val="22"/>
                <w:color w:val="auto"/>
              </w:rPr>
              <w:t>101*</w:t>
            </w:r>
          </w:p>
        </w:tc>
        <w:tc>
          <w:tcPr>
            <w:tcW w:w="10180" w:type="dxa"/>
            <w:vAlign w:val="bottom"/>
          </w:tcPr>
          <w:p>
            <w:pPr>
              <w:jc w:val="right"/>
              <w:spacing w:after="0"/>
              <w:rPr>
                <w:sz w:val="20"/>
                <w:szCs w:val="20"/>
                <w:color w:val="auto"/>
              </w:rPr>
            </w:pPr>
            <w:r>
              <w:rPr>
                <w:rFonts w:ascii="Arial" w:cs="Arial" w:eastAsia="Arial" w:hAnsi="Arial"/>
                <w:sz w:val="22"/>
                <w:szCs w:val="22"/>
                <w:color w:val="auto"/>
                <w:w w:val="93"/>
              </w:rPr>
              <w:t>The following financial information from Monster Beverage Corporation’s Quarterly Report on Form 10-Q for the</w:t>
            </w:r>
          </w:p>
        </w:tc>
      </w:tr>
      <w:tr>
        <w:trPr>
          <w:trHeight w:val="261"/>
        </w:trPr>
        <w:tc>
          <w:tcPr>
            <w:tcW w:w="1240" w:type="dxa"/>
            <w:vAlign w:val="bottom"/>
          </w:tcPr>
          <w:p>
            <w:pPr>
              <w:spacing w:after="0"/>
              <w:rPr>
                <w:sz w:val="22"/>
                <w:szCs w:val="22"/>
                <w:color w:val="auto"/>
              </w:rPr>
            </w:pPr>
          </w:p>
        </w:tc>
        <w:tc>
          <w:tcPr>
            <w:tcW w:w="10180" w:type="dxa"/>
            <w:vAlign w:val="bottom"/>
          </w:tcPr>
          <w:p>
            <w:pPr>
              <w:ind w:left="60"/>
              <w:spacing w:after="0"/>
              <w:rPr>
                <w:sz w:val="20"/>
                <w:szCs w:val="20"/>
                <w:color w:val="auto"/>
              </w:rPr>
            </w:pPr>
            <w:r>
              <w:rPr>
                <w:rFonts w:ascii="Arial" w:cs="Arial" w:eastAsia="Arial" w:hAnsi="Arial"/>
                <w:sz w:val="22"/>
                <w:szCs w:val="22"/>
                <w:color w:val="auto"/>
                <w:w w:val="96"/>
              </w:rPr>
              <w:t>quarter ended June 30, 2012, formatted in XBRL (eXtensible Business Reporting Language): (i) Condensed</w:t>
            </w:r>
          </w:p>
        </w:tc>
      </w:tr>
    </w:tbl>
    <w:p>
      <w:pPr>
        <w:jc w:val="both"/>
        <w:ind w:left="1300" w:right="40"/>
        <w:spacing w:after="0" w:line="233" w:lineRule="auto"/>
        <w:rPr>
          <w:sz w:val="20"/>
          <w:szCs w:val="20"/>
          <w:color w:val="auto"/>
        </w:rPr>
      </w:pPr>
      <w:r>
        <w:rPr>
          <w:rFonts w:ascii="Arial" w:cs="Arial" w:eastAsia="Arial" w:hAnsi="Arial"/>
          <w:sz w:val="22"/>
          <w:szCs w:val="22"/>
          <w:color w:val="auto"/>
        </w:rPr>
        <w:t>Consolidated Balance Sheets as of June 30, 2012 and December 31, 2011, (ii) Condensed Consolidated Statements of Income for the three- and six-months ended June 30, 2012 and 2011, (iii) Condensed Consolidated Statements of Comprehensive Income for the three- and six-months ended June 30, 2012 and 2011, (iv) Condensed Consolidated Statements of Cash Flows for the six-months ended June 30, 2012 and 2011, and (v) the Notes to Condensed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Filed herewith</w:t>
      </w: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right="60" w:firstLine="648"/>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76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5340" w:type="dxa"/>
            <w:vAlign w:val="bottom"/>
            <w:gridSpan w:val="2"/>
          </w:tcPr>
          <w:p>
            <w:pPr>
              <w:spacing w:after="0"/>
              <w:rPr>
                <w:sz w:val="20"/>
                <w:szCs w:val="20"/>
                <w:color w:val="auto"/>
              </w:rPr>
            </w:pPr>
            <w:r>
              <w:rPr>
                <w:rFonts w:ascii="Arial" w:cs="Arial" w:eastAsia="Arial" w:hAnsi="Arial"/>
                <w:sz w:val="22"/>
                <w:szCs w:val="22"/>
                <w:color w:val="auto"/>
              </w:rPr>
              <w:t>MONSTER BEVERAGE COPORATION</w:t>
            </w:r>
          </w:p>
        </w:tc>
      </w:tr>
      <w:tr>
        <w:trPr>
          <w:trHeight w:val="275"/>
        </w:trPr>
        <w:tc>
          <w:tcPr>
            <w:tcW w:w="376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5340" w:type="dxa"/>
            <w:vAlign w:val="bottom"/>
            <w:gridSpan w:val="2"/>
          </w:tcPr>
          <w:p>
            <w:pPr>
              <w:spacing w:after="0"/>
              <w:rPr>
                <w:sz w:val="20"/>
                <w:szCs w:val="20"/>
                <w:color w:val="auto"/>
              </w:rPr>
            </w:pPr>
            <w:r>
              <w:rPr>
                <w:rFonts w:ascii="Arial" w:cs="Arial" w:eastAsia="Arial" w:hAnsi="Arial"/>
                <w:sz w:val="22"/>
                <w:szCs w:val="22"/>
                <w:color w:val="auto"/>
              </w:rPr>
              <w:t>Registrant</w:t>
            </w:r>
          </w:p>
        </w:tc>
      </w:tr>
      <w:tr>
        <w:trPr>
          <w:trHeight w:val="679"/>
        </w:trPr>
        <w:tc>
          <w:tcPr>
            <w:tcW w:w="3760" w:type="dxa"/>
            <w:vAlign w:val="bottom"/>
          </w:tcPr>
          <w:p>
            <w:pPr>
              <w:spacing w:after="0"/>
              <w:rPr>
                <w:sz w:val="20"/>
                <w:szCs w:val="20"/>
                <w:color w:val="auto"/>
              </w:rPr>
            </w:pPr>
            <w:r>
              <w:rPr>
                <w:rFonts w:ascii="Arial" w:cs="Arial" w:eastAsia="Arial" w:hAnsi="Arial"/>
                <w:sz w:val="22"/>
                <w:szCs w:val="22"/>
                <w:color w:val="auto"/>
              </w:rPr>
              <w:t>Date: August 9, 2012</w:t>
            </w:r>
          </w:p>
        </w:tc>
        <w:tc>
          <w:tcPr>
            <w:tcW w:w="2360" w:type="dxa"/>
            <w:vAlign w:val="bottom"/>
          </w:tcPr>
          <w:p>
            <w:pPr>
              <w:spacing w:after="0"/>
              <w:rPr>
                <w:sz w:val="24"/>
                <w:szCs w:val="24"/>
                <w:color w:val="auto"/>
              </w:rPr>
            </w:pPr>
          </w:p>
        </w:tc>
        <w:tc>
          <w:tcPr>
            <w:tcW w:w="5340" w:type="dxa"/>
            <w:vAlign w:val="bottom"/>
            <w:gridSpan w:val="2"/>
          </w:tcPr>
          <w:p>
            <w:pPr>
              <w:spacing w:after="0"/>
              <w:rPr>
                <w:sz w:val="20"/>
                <w:szCs w:val="20"/>
                <w:color w:val="auto"/>
              </w:rPr>
            </w:pPr>
            <w:r>
              <w:rPr>
                <w:rFonts w:ascii="Arial" w:cs="Arial" w:eastAsia="Arial" w:hAnsi="Arial"/>
                <w:sz w:val="22"/>
                <w:szCs w:val="22"/>
                <w:color w:val="auto"/>
              </w:rPr>
              <w:t>/s/ RODNEY C. SACKS</w:t>
            </w:r>
          </w:p>
        </w:tc>
      </w:tr>
      <w:tr>
        <w:trPr>
          <w:trHeight w:val="242"/>
        </w:trPr>
        <w:tc>
          <w:tcPr>
            <w:tcW w:w="376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2160" w:type="dxa"/>
            <w:vAlign w:val="bottom"/>
            <w:tcBorders>
              <w:top w:val="single" w:sz="8" w:color="auto"/>
            </w:tcBorders>
          </w:tcPr>
          <w:p>
            <w:pPr>
              <w:spacing w:after="0" w:line="242" w:lineRule="exact"/>
              <w:rPr>
                <w:sz w:val="20"/>
                <w:szCs w:val="20"/>
                <w:color w:val="auto"/>
              </w:rPr>
            </w:pPr>
            <w:r>
              <w:rPr>
                <w:rFonts w:ascii="Arial" w:cs="Arial" w:eastAsia="Arial" w:hAnsi="Arial"/>
                <w:sz w:val="22"/>
                <w:szCs w:val="22"/>
                <w:color w:val="auto"/>
              </w:rPr>
              <w:t>Rodney C. Sacks</w:t>
            </w:r>
          </w:p>
        </w:tc>
        <w:tc>
          <w:tcPr>
            <w:tcW w:w="3180" w:type="dxa"/>
            <w:vAlign w:val="bottom"/>
          </w:tcPr>
          <w:p>
            <w:pPr>
              <w:spacing w:after="0"/>
              <w:rPr>
                <w:sz w:val="21"/>
                <w:szCs w:val="21"/>
                <w:color w:val="auto"/>
              </w:rPr>
            </w:pPr>
          </w:p>
        </w:tc>
      </w:tr>
      <w:tr>
        <w:trPr>
          <w:trHeight w:val="243"/>
        </w:trPr>
        <w:tc>
          <w:tcPr>
            <w:tcW w:w="376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5340" w:type="dxa"/>
            <w:vAlign w:val="bottom"/>
            <w:gridSpan w:val="2"/>
          </w:tcPr>
          <w:p>
            <w:pPr>
              <w:spacing w:after="0" w:line="243" w:lineRule="exact"/>
              <w:rPr>
                <w:sz w:val="20"/>
                <w:szCs w:val="20"/>
                <w:color w:val="auto"/>
              </w:rPr>
            </w:pPr>
            <w:r>
              <w:rPr>
                <w:rFonts w:ascii="Arial" w:cs="Arial" w:eastAsia="Arial" w:hAnsi="Arial"/>
                <w:sz w:val="22"/>
                <w:szCs w:val="22"/>
                <w:color w:val="auto"/>
              </w:rPr>
              <w:t>Chairman of the Board of Directors</w:t>
            </w:r>
          </w:p>
        </w:tc>
      </w:tr>
      <w:tr>
        <w:trPr>
          <w:trHeight w:val="275"/>
        </w:trPr>
        <w:tc>
          <w:tcPr>
            <w:tcW w:w="376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5340" w:type="dxa"/>
            <w:vAlign w:val="bottom"/>
            <w:gridSpan w:val="2"/>
          </w:tcPr>
          <w:p>
            <w:pPr>
              <w:spacing w:after="0"/>
              <w:rPr>
                <w:sz w:val="20"/>
                <w:szCs w:val="20"/>
                <w:color w:val="auto"/>
              </w:rPr>
            </w:pPr>
            <w:r>
              <w:rPr>
                <w:rFonts w:ascii="Arial" w:cs="Arial" w:eastAsia="Arial" w:hAnsi="Arial"/>
                <w:sz w:val="22"/>
                <w:szCs w:val="22"/>
                <w:color w:val="auto"/>
              </w:rPr>
              <w:t>and Chief Executive Officer</w:t>
            </w:r>
          </w:p>
        </w:tc>
      </w:tr>
      <w:tr>
        <w:trPr>
          <w:trHeight w:val="422"/>
        </w:trPr>
        <w:tc>
          <w:tcPr>
            <w:tcW w:w="3760" w:type="dxa"/>
            <w:vAlign w:val="bottom"/>
          </w:tcPr>
          <w:p>
            <w:pPr>
              <w:spacing w:after="0"/>
              <w:rPr>
                <w:sz w:val="24"/>
                <w:szCs w:val="24"/>
                <w:color w:val="auto"/>
              </w:rPr>
            </w:pPr>
          </w:p>
        </w:tc>
        <w:tc>
          <w:tcPr>
            <w:tcW w:w="2360" w:type="dxa"/>
            <w:vAlign w:val="bottom"/>
          </w:tcPr>
          <w:p>
            <w:pPr>
              <w:jc w:val="right"/>
              <w:ind w:right="230"/>
              <w:spacing w:after="0"/>
              <w:rPr>
                <w:sz w:val="20"/>
                <w:szCs w:val="20"/>
                <w:color w:val="auto"/>
              </w:rPr>
            </w:pPr>
            <w:r>
              <w:rPr>
                <w:rFonts w:ascii="Arial" w:cs="Arial" w:eastAsia="Arial" w:hAnsi="Arial"/>
                <w:sz w:val="18"/>
                <w:szCs w:val="18"/>
                <w:color w:val="auto"/>
              </w:rPr>
              <w:t>52</w:t>
            </w:r>
          </w:p>
        </w:tc>
        <w:tc>
          <w:tcPr>
            <w:tcW w:w="216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132"/>
        </w:trPr>
        <w:tc>
          <w:tcPr>
            <w:tcW w:w="3760" w:type="dxa"/>
            <w:vAlign w:val="bottom"/>
            <w:tcBorders>
              <w:bottom w:val="single" w:sz="8" w:color="010101"/>
            </w:tcBorders>
          </w:tcPr>
          <w:p>
            <w:pPr>
              <w:spacing w:after="0"/>
              <w:rPr>
                <w:sz w:val="11"/>
                <w:szCs w:val="11"/>
                <w:color w:val="auto"/>
              </w:rPr>
            </w:pPr>
          </w:p>
        </w:tc>
        <w:tc>
          <w:tcPr>
            <w:tcW w:w="2360" w:type="dxa"/>
            <w:vAlign w:val="bottom"/>
            <w:tcBorders>
              <w:bottom w:val="single" w:sz="8" w:color="010101"/>
            </w:tcBorders>
          </w:tcPr>
          <w:p>
            <w:pPr>
              <w:spacing w:after="0"/>
              <w:rPr>
                <w:sz w:val="11"/>
                <w:szCs w:val="11"/>
                <w:color w:val="auto"/>
              </w:rPr>
            </w:pPr>
          </w:p>
        </w:tc>
        <w:tc>
          <w:tcPr>
            <w:tcW w:w="2160" w:type="dxa"/>
            <w:vAlign w:val="bottom"/>
            <w:tcBorders>
              <w:bottom w:val="single" w:sz="8" w:color="010101"/>
            </w:tcBorders>
          </w:tcPr>
          <w:p>
            <w:pPr>
              <w:spacing w:after="0"/>
              <w:rPr>
                <w:sz w:val="11"/>
                <w:szCs w:val="11"/>
                <w:color w:val="auto"/>
              </w:rPr>
            </w:pPr>
          </w:p>
        </w:tc>
        <w:tc>
          <w:tcPr>
            <w:tcW w:w="318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8" w:right="199" w:bottom="1440" w:gutter="0" w:footer="0" w:header="0"/>
        </w:sectPr>
      </w:pPr>
    </w:p>
    <w:bookmarkStart w:id="34" w:name="page35"/>
    <w:bookmarkEnd w:id="34"/>
    <w:p>
      <w:pPr>
        <w:jc w:val="right"/>
        <w:ind w:right="40"/>
        <w:spacing w:after="0"/>
        <w:rPr>
          <w:sz w:val="20"/>
          <w:szCs w:val="20"/>
          <w:color w:val="auto"/>
        </w:rPr>
      </w:pPr>
      <w:r>
        <w:rPr>
          <w:rFonts w:ascii="Arial" w:cs="Arial" w:eastAsia="Arial" w:hAnsi="Arial"/>
          <w:sz w:val="20"/>
          <w:szCs w:val="20"/>
          <w:b w:val="1"/>
          <w:bCs w:val="1"/>
          <w:color w:val="auto"/>
        </w:rPr>
        <w:t>EXHIBIT 31.1</w:t>
      </w:r>
    </w:p>
    <w:p>
      <w:pPr>
        <w:spacing w:after="0" w:line="236" w:lineRule="exact"/>
        <w:rPr>
          <w:sz w:val="20"/>
          <w:szCs w:val="20"/>
          <w:color w:val="auto"/>
        </w:rPr>
      </w:pPr>
    </w:p>
    <w:p>
      <w:pPr>
        <w:jc w:val="center"/>
        <w:ind w:right="40"/>
        <w:spacing w:after="0" w:line="250" w:lineRule="auto"/>
        <w:rPr>
          <w:sz w:val="20"/>
          <w:szCs w:val="20"/>
          <w:color w:val="auto"/>
        </w:rPr>
      </w:pPr>
      <w:r>
        <w:rPr>
          <w:rFonts w:ascii="Arial" w:cs="Arial" w:eastAsia="Arial" w:hAnsi="Arial"/>
          <w:sz w:val="20"/>
          <w:szCs w:val="20"/>
          <w:color w:val="auto"/>
        </w:rPr>
        <w:t>CERTIFICATION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I, Rodney Sacks, certify that:</w:t>
      </w:r>
    </w:p>
    <w:p>
      <w:pPr>
        <w:spacing w:after="0" w:line="229" w:lineRule="exact"/>
        <w:rPr>
          <w:sz w:val="20"/>
          <w:szCs w:val="20"/>
          <w:color w:val="auto"/>
        </w:rPr>
      </w:pPr>
    </w:p>
    <w:p>
      <w:pPr>
        <w:ind w:left="320" w:hanging="312"/>
        <w:spacing w:after="0"/>
        <w:tabs>
          <w:tab w:leader="none" w:pos="3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Monster Beverage Corporation;</w:t>
      </w:r>
    </w:p>
    <w:p>
      <w:pPr>
        <w:spacing w:after="0" w:line="229" w:lineRule="exact"/>
        <w:rPr>
          <w:rFonts w:ascii="Arial" w:cs="Arial" w:eastAsia="Arial" w:hAnsi="Arial"/>
          <w:sz w:val="20"/>
          <w:szCs w:val="20"/>
          <w:color w:val="auto"/>
        </w:rPr>
      </w:pPr>
    </w:p>
    <w:p>
      <w:pPr>
        <w:jc w:val="both"/>
        <w:ind w:left="340" w:right="40" w:hanging="332"/>
        <w:spacing w:after="0" w:line="250" w:lineRule="auto"/>
        <w:tabs>
          <w:tab w:leader="none" w:pos="434" w:val="left"/>
        </w:tabs>
        <w:numPr>
          <w:ilvl w:val="0"/>
          <w:numId w:val="27"/>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340" w:right="60" w:hanging="332"/>
        <w:spacing w:after="0" w:line="316" w:lineRule="auto"/>
        <w:tabs>
          <w:tab w:leader="none" w:pos="529"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340" w:right="40" w:hanging="332"/>
        <w:spacing w:after="0" w:line="250" w:lineRule="auto"/>
        <w:tabs>
          <w:tab w:leader="none" w:pos="502"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1620" w:right="40" w:hanging="315"/>
        <w:spacing w:after="0" w:line="291" w:lineRule="auto"/>
        <w:tabs>
          <w:tab w:leader="none" w:pos="1663"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jc w:val="both"/>
        <w:ind w:left="1620" w:right="40" w:hanging="315"/>
        <w:spacing w:after="0" w:line="291" w:lineRule="auto"/>
        <w:tabs>
          <w:tab w:leader="none" w:pos="1863"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8"/>
          <w:szCs w:val="18"/>
          <w:color w:val="auto"/>
        </w:rPr>
      </w:pPr>
    </w:p>
    <w:p>
      <w:pPr>
        <w:jc w:val="both"/>
        <w:ind w:left="1620" w:right="40" w:hanging="315"/>
        <w:spacing w:after="0" w:line="250" w:lineRule="auto"/>
        <w:tabs>
          <w:tab w:leader="none" w:pos="2027" w:val="left"/>
        </w:tabs>
        <w:numPr>
          <w:ilvl w:val="1"/>
          <w:numId w:val="27"/>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1620" w:right="40" w:hanging="315"/>
        <w:spacing w:after="0" w:line="291" w:lineRule="auto"/>
        <w:tabs>
          <w:tab w:leader="none" w:pos="1809"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8"/>
          <w:szCs w:val="18"/>
          <w:color w:val="auto"/>
        </w:rPr>
      </w:pPr>
    </w:p>
    <w:p>
      <w:pPr>
        <w:jc w:val="both"/>
        <w:ind w:left="340" w:right="40" w:hanging="332"/>
        <w:spacing w:after="0" w:line="250" w:lineRule="auto"/>
        <w:tabs>
          <w:tab w:leader="none" w:pos="542"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86" w:lineRule="exact"/>
        <w:rPr>
          <w:rFonts w:ascii="Arial" w:cs="Arial" w:eastAsia="Arial" w:hAnsi="Arial"/>
          <w:sz w:val="20"/>
          <w:szCs w:val="20"/>
          <w:color w:val="auto"/>
        </w:rPr>
      </w:pPr>
    </w:p>
    <w:p>
      <w:pPr>
        <w:jc w:val="both"/>
        <w:ind w:left="1620" w:right="40" w:hanging="315"/>
        <w:spacing w:after="0" w:line="250" w:lineRule="auto"/>
        <w:tabs>
          <w:tab w:leader="none" w:pos="1717" w:val="left"/>
        </w:tabs>
        <w:numPr>
          <w:ilvl w:val="1"/>
          <w:numId w:val="27"/>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1620" w:right="40" w:hanging="315"/>
        <w:spacing w:after="0" w:line="260" w:lineRule="auto"/>
        <w:tabs>
          <w:tab w:leader="none" w:pos="1863" w:val="left"/>
        </w:tabs>
        <w:numPr>
          <w:ilvl w:val="1"/>
          <w:numId w:val="27"/>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00" w:type="dxa"/>
            <w:vAlign w:val="bottom"/>
          </w:tcPr>
          <w:p>
            <w:pPr>
              <w:spacing w:after="0"/>
              <w:rPr>
                <w:sz w:val="20"/>
                <w:szCs w:val="20"/>
                <w:color w:val="auto"/>
              </w:rPr>
            </w:pPr>
            <w:r>
              <w:rPr>
                <w:rFonts w:ascii="Arial" w:cs="Arial" w:eastAsia="Arial" w:hAnsi="Arial"/>
                <w:sz w:val="20"/>
                <w:szCs w:val="20"/>
                <w:color w:val="auto"/>
              </w:rPr>
              <w:t>Date:</w:t>
            </w:r>
          </w:p>
        </w:tc>
        <w:tc>
          <w:tcPr>
            <w:tcW w:w="4940" w:type="dxa"/>
            <w:vAlign w:val="bottom"/>
          </w:tcPr>
          <w:p>
            <w:pPr>
              <w:ind w:left="360"/>
              <w:spacing w:after="0"/>
              <w:rPr>
                <w:sz w:val="20"/>
                <w:szCs w:val="20"/>
                <w:color w:val="auto"/>
              </w:rPr>
            </w:pPr>
            <w:r>
              <w:rPr>
                <w:rFonts w:ascii="Arial" w:cs="Arial" w:eastAsia="Arial" w:hAnsi="Arial"/>
                <w:sz w:val="20"/>
                <w:szCs w:val="20"/>
                <w:color w:val="auto"/>
              </w:rPr>
              <w:t>August 9, 2012</w:t>
            </w:r>
          </w:p>
        </w:tc>
        <w:tc>
          <w:tcPr>
            <w:tcW w:w="568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/s/Rodney C. Sacks</w:t>
            </w:r>
          </w:p>
        </w:tc>
        <w:tc>
          <w:tcPr>
            <w:tcW w:w="40" w:type="dxa"/>
            <w:vAlign w:val="bottom"/>
          </w:tcPr>
          <w:p>
            <w:pPr>
              <w:spacing w:after="0"/>
              <w:rPr>
                <w:sz w:val="21"/>
                <w:szCs w:val="21"/>
                <w:color w:val="auto"/>
              </w:rPr>
            </w:pPr>
          </w:p>
        </w:tc>
      </w:tr>
      <w:tr>
        <w:trPr>
          <w:trHeight w:val="206"/>
        </w:trPr>
        <w:tc>
          <w:tcPr>
            <w:tcW w:w="80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5680" w:type="dxa"/>
            <w:vAlign w:val="bottom"/>
          </w:tcPr>
          <w:p>
            <w:pPr>
              <w:ind w:left="80"/>
              <w:spacing w:after="0" w:line="207" w:lineRule="exact"/>
              <w:rPr>
                <w:sz w:val="20"/>
                <w:szCs w:val="20"/>
                <w:color w:val="auto"/>
              </w:rPr>
            </w:pPr>
            <w:r>
              <w:rPr>
                <w:rFonts w:ascii="Arial" w:cs="Arial" w:eastAsia="Arial" w:hAnsi="Arial"/>
                <w:sz w:val="20"/>
                <w:szCs w:val="20"/>
                <w:color w:val="auto"/>
              </w:rPr>
              <w:t>Rodney C. Sacks</w:t>
            </w:r>
          </w:p>
        </w:tc>
        <w:tc>
          <w:tcPr>
            <w:tcW w:w="40" w:type="dxa"/>
            <w:vAlign w:val="bottom"/>
          </w:tcPr>
          <w:p>
            <w:pPr>
              <w:spacing w:after="0"/>
              <w:rPr>
                <w:sz w:val="17"/>
                <w:szCs w:val="17"/>
                <w:color w:val="auto"/>
              </w:rPr>
            </w:pPr>
          </w:p>
        </w:tc>
      </w:tr>
      <w:tr>
        <w:trPr>
          <w:trHeight w:val="230"/>
        </w:trPr>
        <w:tc>
          <w:tcPr>
            <w:tcW w:w="80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5680" w:type="dxa"/>
            <w:vAlign w:val="bottom"/>
          </w:tcPr>
          <w:p>
            <w:pPr>
              <w:ind w:left="80"/>
              <w:spacing w:after="0"/>
              <w:rPr>
                <w:sz w:val="20"/>
                <w:szCs w:val="20"/>
                <w:color w:val="auto"/>
              </w:rPr>
            </w:pPr>
            <w:r>
              <w:rPr>
                <w:rFonts w:ascii="Arial" w:cs="Arial" w:eastAsia="Arial" w:hAnsi="Arial"/>
                <w:sz w:val="20"/>
                <w:szCs w:val="20"/>
                <w:color w:val="auto"/>
              </w:rPr>
              <w:t>Chairman of the Board of Directors</w:t>
            </w:r>
          </w:p>
        </w:tc>
        <w:tc>
          <w:tcPr>
            <w:tcW w:w="40" w:type="dxa"/>
            <w:vAlign w:val="bottom"/>
          </w:tcPr>
          <w:p>
            <w:pPr>
              <w:spacing w:after="0"/>
              <w:rPr>
                <w:sz w:val="19"/>
                <w:szCs w:val="19"/>
                <w:color w:val="auto"/>
              </w:rPr>
            </w:pPr>
          </w:p>
        </w:tc>
      </w:tr>
      <w:tr>
        <w:trPr>
          <w:trHeight w:val="250"/>
        </w:trPr>
        <w:tc>
          <w:tcPr>
            <w:tcW w:w="800" w:type="dxa"/>
            <w:vAlign w:val="bottom"/>
          </w:tcPr>
          <w:p>
            <w:pPr>
              <w:spacing w:after="0"/>
              <w:rPr>
                <w:sz w:val="21"/>
                <w:szCs w:val="21"/>
                <w:color w:val="auto"/>
              </w:rPr>
            </w:pPr>
          </w:p>
        </w:tc>
        <w:tc>
          <w:tcPr>
            <w:tcW w:w="4940" w:type="dxa"/>
            <w:vAlign w:val="bottom"/>
          </w:tcPr>
          <w:p>
            <w:pPr>
              <w:spacing w:after="0"/>
              <w:rPr>
                <w:sz w:val="21"/>
                <w:szCs w:val="21"/>
                <w:color w:val="auto"/>
              </w:rPr>
            </w:pPr>
          </w:p>
        </w:tc>
        <w:tc>
          <w:tcPr>
            <w:tcW w:w="5680" w:type="dxa"/>
            <w:vAlign w:val="bottom"/>
          </w:tcPr>
          <w:p>
            <w:pPr>
              <w:ind w:left="80"/>
              <w:spacing w:after="0"/>
              <w:rPr>
                <w:sz w:val="20"/>
                <w:szCs w:val="20"/>
                <w:color w:val="auto"/>
              </w:rPr>
            </w:pPr>
            <w:r>
              <w:rPr>
                <w:rFonts w:ascii="Arial" w:cs="Arial" w:eastAsia="Arial" w:hAnsi="Arial"/>
                <w:sz w:val="20"/>
                <w:szCs w:val="20"/>
                <w:color w:val="auto"/>
              </w:rPr>
              <w:t>and Chief Executive Officer</w:t>
            </w:r>
          </w:p>
        </w:tc>
        <w:tc>
          <w:tcPr>
            <w:tcW w:w="40" w:type="dxa"/>
            <w:vAlign w:val="bottom"/>
          </w:tcPr>
          <w:p>
            <w:pPr>
              <w:spacing w:after="0"/>
              <w:rPr>
                <w:sz w:val="21"/>
                <w:szCs w:val="21"/>
                <w:color w:val="auto"/>
              </w:rPr>
            </w:pPr>
          </w:p>
        </w:tc>
      </w:tr>
      <w:tr>
        <w:trPr>
          <w:trHeight w:val="357"/>
        </w:trPr>
        <w:tc>
          <w:tcPr>
            <w:tcW w:w="800" w:type="dxa"/>
            <w:vAlign w:val="bottom"/>
            <w:tcBorders>
              <w:bottom w:val="single" w:sz="8" w:color="010101"/>
            </w:tcBorders>
          </w:tcPr>
          <w:p>
            <w:pPr>
              <w:spacing w:after="0"/>
              <w:rPr>
                <w:sz w:val="24"/>
                <w:szCs w:val="24"/>
                <w:color w:val="auto"/>
              </w:rPr>
            </w:pPr>
          </w:p>
        </w:tc>
        <w:tc>
          <w:tcPr>
            <w:tcW w:w="4940" w:type="dxa"/>
            <w:vAlign w:val="bottom"/>
            <w:tcBorders>
              <w:bottom w:val="single" w:sz="8" w:color="010101"/>
            </w:tcBorders>
          </w:tcPr>
          <w:p>
            <w:pPr>
              <w:spacing w:after="0"/>
              <w:rPr>
                <w:sz w:val="24"/>
                <w:szCs w:val="24"/>
                <w:color w:val="auto"/>
              </w:rPr>
            </w:pPr>
          </w:p>
        </w:tc>
        <w:tc>
          <w:tcPr>
            <w:tcW w:w="56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6" w:right="199" w:bottom="1440" w:gutter="0" w:footer="0" w:header="0"/>
        </w:sectPr>
      </w:pPr>
    </w:p>
    <w:bookmarkStart w:id="35" w:name="page36"/>
    <w:bookmarkEnd w:id="35"/>
    <w:p>
      <w:pPr>
        <w:jc w:val="right"/>
        <w:ind w:right="40"/>
        <w:spacing w:after="0"/>
        <w:rPr>
          <w:sz w:val="20"/>
          <w:szCs w:val="20"/>
          <w:color w:val="auto"/>
        </w:rPr>
      </w:pPr>
      <w:r>
        <w:rPr>
          <w:rFonts w:ascii="Arial" w:cs="Arial" w:eastAsia="Arial" w:hAnsi="Arial"/>
          <w:sz w:val="20"/>
          <w:szCs w:val="20"/>
          <w:b w:val="1"/>
          <w:bCs w:val="1"/>
          <w:color w:val="auto"/>
        </w:rPr>
        <w:t>EXHIBIT 31.2</w:t>
      </w:r>
    </w:p>
    <w:p>
      <w:pPr>
        <w:spacing w:after="0" w:line="236" w:lineRule="exact"/>
        <w:rPr>
          <w:sz w:val="20"/>
          <w:szCs w:val="20"/>
          <w:color w:val="auto"/>
        </w:rPr>
      </w:pPr>
    </w:p>
    <w:p>
      <w:pPr>
        <w:jc w:val="center"/>
        <w:ind w:right="40"/>
        <w:spacing w:after="0" w:line="250" w:lineRule="auto"/>
        <w:rPr>
          <w:sz w:val="20"/>
          <w:szCs w:val="20"/>
          <w:color w:val="auto"/>
        </w:rPr>
      </w:pPr>
      <w:r>
        <w:rPr>
          <w:rFonts w:ascii="Arial" w:cs="Arial" w:eastAsia="Arial" w:hAnsi="Arial"/>
          <w:sz w:val="20"/>
          <w:szCs w:val="20"/>
          <w:color w:val="auto"/>
        </w:rPr>
        <w:t>CERTIFICATION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I, Hilton Schlosberg, certify that:</w:t>
      </w:r>
    </w:p>
    <w:p>
      <w:pPr>
        <w:spacing w:after="0" w:line="229"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Monster Beverage Corporation;</w:t>
      </w:r>
    </w:p>
    <w:p>
      <w:pPr>
        <w:spacing w:after="0" w:line="229" w:lineRule="exact"/>
        <w:rPr>
          <w:rFonts w:ascii="Arial" w:cs="Arial" w:eastAsia="Arial" w:hAnsi="Arial"/>
          <w:sz w:val="20"/>
          <w:szCs w:val="20"/>
          <w:color w:val="auto"/>
        </w:rPr>
      </w:pPr>
    </w:p>
    <w:p>
      <w:pPr>
        <w:jc w:val="both"/>
        <w:ind w:left="340" w:right="40" w:hanging="332"/>
        <w:spacing w:after="0" w:line="250" w:lineRule="auto"/>
        <w:tabs>
          <w:tab w:leader="none" w:pos="434" w:val="left"/>
        </w:tabs>
        <w:numPr>
          <w:ilvl w:val="0"/>
          <w:numId w:val="28"/>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340" w:right="60" w:hanging="332"/>
        <w:spacing w:after="0" w:line="316" w:lineRule="auto"/>
        <w:tabs>
          <w:tab w:leader="none" w:pos="529"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340" w:right="40" w:hanging="332"/>
        <w:spacing w:after="0" w:line="250" w:lineRule="auto"/>
        <w:tabs>
          <w:tab w:leader="none" w:pos="502"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1620" w:right="40" w:hanging="315"/>
        <w:spacing w:after="0" w:line="291" w:lineRule="auto"/>
        <w:tabs>
          <w:tab w:leader="none" w:pos="1663"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jc w:val="both"/>
        <w:ind w:left="1620" w:right="40" w:hanging="315"/>
        <w:spacing w:after="0" w:line="291" w:lineRule="auto"/>
        <w:tabs>
          <w:tab w:leader="none" w:pos="1863"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8"/>
          <w:szCs w:val="18"/>
          <w:color w:val="auto"/>
        </w:rPr>
      </w:pPr>
    </w:p>
    <w:p>
      <w:pPr>
        <w:jc w:val="both"/>
        <w:ind w:left="1620" w:right="40" w:hanging="315"/>
        <w:spacing w:after="0" w:line="250" w:lineRule="auto"/>
        <w:tabs>
          <w:tab w:leader="none" w:pos="2027" w:val="left"/>
        </w:tabs>
        <w:numPr>
          <w:ilvl w:val="1"/>
          <w:numId w:val="28"/>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1620" w:right="40" w:hanging="315"/>
        <w:spacing w:after="0" w:line="291" w:lineRule="auto"/>
        <w:tabs>
          <w:tab w:leader="none" w:pos="1809"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8"/>
          <w:szCs w:val="18"/>
          <w:color w:val="auto"/>
        </w:rPr>
      </w:pPr>
    </w:p>
    <w:p>
      <w:pPr>
        <w:jc w:val="both"/>
        <w:ind w:left="340" w:right="40" w:hanging="332"/>
        <w:spacing w:after="0" w:line="250" w:lineRule="auto"/>
        <w:tabs>
          <w:tab w:leader="none" w:pos="542"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99" w:lineRule="exact"/>
        <w:rPr>
          <w:rFonts w:ascii="Arial" w:cs="Arial" w:eastAsia="Arial" w:hAnsi="Arial"/>
          <w:sz w:val="20"/>
          <w:szCs w:val="20"/>
          <w:color w:val="auto"/>
        </w:rPr>
      </w:pPr>
    </w:p>
    <w:p>
      <w:pPr>
        <w:jc w:val="both"/>
        <w:ind w:left="1620" w:right="40" w:hanging="315"/>
        <w:spacing w:after="0" w:line="250" w:lineRule="auto"/>
        <w:tabs>
          <w:tab w:leader="none" w:pos="1717" w:val="left"/>
        </w:tabs>
        <w:numPr>
          <w:ilvl w:val="1"/>
          <w:numId w:val="28"/>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1620" w:right="40" w:hanging="315"/>
        <w:spacing w:after="0" w:line="260" w:lineRule="auto"/>
        <w:tabs>
          <w:tab w:leader="none" w:pos="1863" w:val="left"/>
        </w:tabs>
        <w:numPr>
          <w:ilvl w:val="1"/>
          <w:numId w:val="28"/>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60" w:type="dxa"/>
            <w:vAlign w:val="bottom"/>
          </w:tcPr>
          <w:p>
            <w:pPr>
              <w:spacing w:after="0"/>
              <w:rPr>
                <w:sz w:val="20"/>
                <w:szCs w:val="20"/>
                <w:color w:val="auto"/>
              </w:rPr>
            </w:pPr>
            <w:r>
              <w:rPr>
                <w:rFonts w:ascii="Arial" w:cs="Arial" w:eastAsia="Arial" w:hAnsi="Arial"/>
                <w:sz w:val="20"/>
                <w:szCs w:val="20"/>
                <w:color w:val="auto"/>
              </w:rPr>
              <w:t>Date:</w:t>
            </w:r>
          </w:p>
        </w:tc>
        <w:tc>
          <w:tcPr>
            <w:tcW w:w="4860" w:type="dxa"/>
            <w:vAlign w:val="bottom"/>
          </w:tcPr>
          <w:p>
            <w:pPr>
              <w:ind w:left="400"/>
              <w:spacing w:after="0"/>
              <w:rPr>
                <w:sz w:val="20"/>
                <w:szCs w:val="20"/>
                <w:color w:val="auto"/>
              </w:rPr>
            </w:pPr>
            <w:r>
              <w:rPr>
                <w:rFonts w:ascii="Arial" w:cs="Arial" w:eastAsia="Arial" w:hAnsi="Arial"/>
                <w:sz w:val="20"/>
                <w:szCs w:val="20"/>
                <w:color w:val="auto"/>
              </w:rPr>
              <w:t>August 9, 2012</w:t>
            </w:r>
          </w:p>
        </w:tc>
        <w:tc>
          <w:tcPr>
            <w:tcW w:w="570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Hilton H. Schlosberg</w:t>
            </w:r>
          </w:p>
        </w:tc>
        <w:tc>
          <w:tcPr>
            <w:tcW w:w="40" w:type="dxa"/>
            <w:vAlign w:val="bottom"/>
          </w:tcPr>
          <w:p>
            <w:pPr>
              <w:spacing w:after="0"/>
              <w:rPr>
                <w:sz w:val="21"/>
                <w:szCs w:val="21"/>
                <w:color w:val="auto"/>
              </w:rPr>
            </w:pPr>
          </w:p>
        </w:tc>
      </w:tr>
      <w:tr>
        <w:trPr>
          <w:trHeight w:val="206"/>
        </w:trPr>
        <w:tc>
          <w:tcPr>
            <w:tcW w:w="86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5700" w:type="dxa"/>
            <w:vAlign w:val="bottom"/>
          </w:tcPr>
          <w:p>
            <w:pPr>
              <w:ind w:left="100"/>
              <w:spacing w:after="0" w:line="207" w:lineRule="exact"/>
              <w:rPr>
                <w:sz w:val="20"/>
                <w:szCs w:val="20"/>
                <w:color w:val="auto"/>
              </w:rPr>
            </w:pPr>
            <w:r>
              <w:rPr>
                <w:rFonts w:ascii="Arial" w:cs="Arial" w:eastAsia="Arial" w:hAnsi="Arial"/>
                <w:sz w:val="20"/>
                <w:szCs w:val="20"/>
                <w:color w:val="auto"/>
              </w:rPr>
              <w:t>Hilton H. Schlosberg</w:t>
            </w:r>
          </w:p>
        </w:tc>
        <w:tc>
          <w:tcPr>
            <w:tcW w:w="40" w:type="dxa"/>
            <w:vAlign w:val="bottom"/>
          </w:tcPr>
          <w:p>
            <w:pPr>
              <w:spacing w:after="0"/>
              <w:rPr>
                <w:sz w:val="17"/>
                <w:szCs w:val="17"/>
                <w:color w:val="auto"/>
              </w:rPr>
            </w:pPr>
          </w:p>
        </w:tc>
      </w:tr>
      <w:tr>
        <w:trPr>
          <w:trHeight w:val="230"/>
        </w:trPr>
        <w:tc>
          <w:tcPr>
            <w:tcW w:w="86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5700" w:type="dxa"/>
            <w:vAlign w:val="bottom"/>
          </w:tcPr>
          <w:p>
            <w:pPr>
              <w:ind w:left="100"/>
              <w:spacing w:after="0"/>
              <w:rPr>
                <w:sz w:val="20"/>
                <w:szCs w:val="20"/>
                <w:color w:val="auto"/>
              </w:rPr>
            </w:pPr>
            <w:r>
              <w:rPr>
                <w:rFonts w:ascii="Arial" w:cs="Arial" w:eastAsia="Arial" w:hAnsi="Arial"/>
                <w:sz w:val="20"/>
                <w:szCs w:val="20"/>
                <w:color w:val="auto"/>
              </w:rPr>
              <w:t>Vice Chairman of the Board of Directors,</w:t>
            </w:r>
          </w:p>
        </w:tc>
        <w:tc>
          <w:tcPr>
            <w:tcW w:w="40" w:type="dxa"/>
            <w:vAlign w:val="bottom"/>
          </w:tcPr>
          <w:p>
            <w:pPr>
              <w:spacing w:after="0"/>
              <w:rPr>
                <w:sz w:val="19"/>
                <w:szCs w:val="19"/>
                <w:color w:val="auto"/>
              </w:rPr>
            </w:pPr>
          </w:p>
        </w:tc>
      </w:tr>
      <w:tr>
        <w:trPr>
          <w:trHeight w:val="230"/>
        </w:trPr>
        <w:tc>
          <w:tcPr>
            <w:tcW w:w="86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5700" w:type="dxa"/>
            <w:vAlign w:val="bottom"/>
          </w:tcPr>
          <w:p>
            <w:pPr>
              <w:ind w:left="100"/>
              <w:spacing w:after="0"/>
              <w:rPr>
                <w:sz w:val="20"/>
                <w:szCs w:val="20"/>
                <w:color w:val="auto"/>
              </w:rPr>
            </w:pPr>
            <w:r>
              <w:rPr>
                <w:rFonts w:ascii="Arial" w:cs="Arial" w:eastAsia="Arial" w:hAnsi="Arial"/>
                <w:sz w:val="20"/>
                <w:szCs w:val="20"/>
                <w:color w:val="auto"/>
              </w:rPr>
              <w:t>President, Chief Operating Officer, Chief</w:t>
            </w:r>
          </w:p>
        </w:tc>
        <w:tc>
          <w:tcPr>
            <w:tcW w:w="40" w:type="dxa"/>
            <w:vAlign w:val="bottom"/>
          </w:tcPr>
          <w:p>
            <w:pPr>
              <w:spacing w:after="0"/>
              <w:rPr>
                <w:sz w:val="19"/>
                <w:szCs w:val="19"/>
                <w:color w:val="auto"/>
              </w:rPr>
            </w:pPr>
          </w:p>
        </w:tc>
      </w:tr>
      <w:tr>
        <w:trPr>
          <w:trHeight w:val="250"/>
        </w:trPr>
        <w:tc>
          <w:tcPr>
            <w:tcW w:w="860" w:type="dxa"/>
            <w:vAlign w:val="bottom"/>
          </w:tcPr>
          <w:p>
            <w:pPr>
              <w:spacing w:after="0"/>
              <w:rPr>
                <w:sz w:val="21"/>
                <w:szCs w:val="21"/>
                <w:color w:val="auto"/>
              </w:rPr>
            </w:pPr>
          </w:p>
        </w:tc>
        <w:tc>
          <w:tcPr>
            <w:tcW w:w="4860" w:type="dxa"/>
            <w:vAlign w:val="bottom"/>
          </w:tcPr>
          <w:p>
            <w:pPr>
              <w:spacing w:after="0"/>
              <w:rPr>
                <w:sz w:val="21"/>
                <w:szCs w:val="21"/>
                <w:color w:val="auto"/>
              </w:rPr>
            </w:pPr>
          </w:p>
        </w:tc>
        <w:tc>
          <w:tcPr>
            <w:tcW w:w="5700" w:type="dxa"/>
            <w:vAlign w:val="bottom"/>
          </w:tcPr>
          <w:p>
            <w:pPr>
              <w:ind w:left="100"/>
              <w:spacing w:after="0"/>
              <w:rPr>
                <w:sz w:val="20"/>
                <w:szCs w:val="20"/>
                <w:color w:val="auto"/>
              </w:rPr>
            </w:pPr>
            <w:r>
              <w:rPr>
                <w:rFonts w:ascii="Arial" w:cs="Arial" w:eastAsia="Arial" w:hAnsi="Arial"/>
                <w:sz w:val="20"/>
                <w:szCs w:val="20"/>
                <w:color w:val="auto"/>
              </w:rPr>
              <w:t>Financial Officer and Secretary</w:t>
            </w:r>
          </w:p>
        </w:tc>
        <w:tc>
          <w:tcPr>
            <w:tcW w:w="40" w:type="dxa"/>
            <w:vAlign w:val="bottom"/>
          </w:tcPr>
          <w:p>
            <w:pPr>
              <w:spacing w:after="0"/>
              <w:rPr>
                <w:sz w:val="21"/>
                <w:szCs w:val="21"/>
                <w:color w:val="auto"/>
              </w:rPr>
            </w:pPr>
          </w:p>
        </w:tc>
      </w:tr>
      <w:tr>
        <w:trPr>
          <w:trHeight w:val="357"/>
        </w:trPr>
        <w:tc>
          <w:tcPr>
            <w:tcW w:w="860" w:type="dxa"/>
            <w:vAlign w:val="bottom"/>
            <w:tcBorders>
              <w:bottom w:val="single" w:sz="8" w:color="010101"/>
            </w:tcBorders>
          </w:tcPr>
          <w:p>
            <w:pPr>
              <w:spacing w:after="0"/>
              <w:rPr>
                <w:sz w:val="24"/>
                <w:szCs w:val="24"/>
                <w:color w:val="auto"/>
              </w:rPr>
            </w:pPr>
          </w:p>
        </w:tc>
        <w:tc>
          <w:tcPr>
            <w:tcW w:w="4860" w:type="dxa"/>
            <w:vAlign w:val="bottom"/>
            <w:tcBorders>
              <w:bottom w:val="single" w:sz="8" w:color="010101"/>
            </w:tcBorders>
          </w:tcPr>
          <w:p>
            <w:pPr>
              <w:spacing w:after="0"/>
              <w:rPr>
                <w:sz w:val="24"/>
                <w:szCs w:val="24"/>
                <w:color w:val="auto"/>
              </w:rPr>
            </w:pPr>
          </w:p>
        </w:tc>
        <w:tc>
          <w:tcPr>
            <w:tcW w:w="57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5" w:right="199" w:bottom="1440" w:gutter="0" w:footer="0" w:header="0"/>
        </w:sectPr>
      </w:pPr>
    </w:p>
    <w:bookmarkStart w:id="36" w:name="page37"/>
    <w:bookmarkEnd w:id="36"/>
    <w:p>
      <w:pPr>
        <w:jc w:val="right"/>
        <w:ind w:right="40"/>
        <w:spacing w:after="0"/>
        <w:rPr>
          <w:sz w:val="20"/>
          <w:szCs w:val="20"/>
          <w:color w:val="auto"/>
        </w:rPr>
      </w:pPr>
      <w:r>
        <w:rPr>
          <w:rFonts w:ascii="Arial" w:cs="Arial" w:eastAsia="Arial" w:hAnsi="Arial"/>
          <w:sz w:val="20"/>
          <w:szCs w:val="20"/>
          <w:b w:val="1"/>
          <w:bCs w:val="1"/>
          <w:color w:val="auto"/>
        </w:rPr>
        <w:t>EXHIBIT 32.1</w:t>
      </w:r>
    </w:p>
    <w:p>
      <w:pPr>
        <w:spacing w:after="0" w:line="236"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CERTIFICATION PURSUANT TO</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18 U.S.C. SECTION 1350,</w:t>
      </w:r>
    </w:p>
    <w:p>
      <w:pPr>
        <w:jc w:val="center"/>
        <w:ind w:right="40"/>
        <w:spacing w:after="0"/>
        <w:rPr>
          <w:sz w:val="20"/>
          <w:szCs w:val="20"/>
          <w:color w:val="auto"/>
        </w:rPr>
      </w:pPr>
      <w:r>
        <w:rPr>
          <w:rFonts w:ascii="Arial" w:cs="Arial" w:eastAsia="Arial" w:hAnsi="Arial"/>
          <w:sz w:val="20"/>
          <w:szCs w:val="20"/>
          <w:color w:val="auto"/>
        </w:rPr>
        <w:t>AS ADOPTED PURSUANT TO</w:t>
      </w:r>
    </w:p>
    <w:p>
      <w:pPr>
        <w:jc w:val="center"/>
        <w:ind w:right="40"/>
        <w:spacing w:after="0"/>
        <w:rPr>
          <w:sz w:val="20"/>
          <w:szCs w:val="20"/>
          <w:color w:val="auto"/>
        </w:rPr>
      </w:pPr>
      <w:r>
        <w:rPr>
          <w:rFonts w:ascii="Arial" w:cs="Arial" w:eastAsia="Arial" w:hAnsi="Arial"/>
          <w:sz w:val="20"/>
          <w:szCs w:val="20"/>
          <w:color w:val="auto"/>
        </w:rPr>
        <w:t>SECTION 906 OF THE SARBANES-OXLEY ACT OF 2002</w:t>
      </w:r>
    </w:p>
    <w:p>
      <w:pPr>
        <w:spacing w:after="0" w:line="213" w:lineRule="exact"/>
        <w:rPr>
          <w:sz w:val="20"/>
          <w:szCs w:val="20"/>
          <w:color w:val="auto"/>
        </w:rPr>
      </w:pPr>
    </w:p>
    <w:p>
      <w:pPr>
        <w:jc w:val="both"/>
        <w:ind w:right="40"/>
        <w:spacing w:after="0" w:line="246" w:lineRule="auto"/>
        <w:rPr>
          <w:sz w:val="20"/>
          <w:szCs w:val="20"/>
          <w:color w:val="auto"/>
        </w:rPr>
      </w:pPr>
      <w:r>
        <w:rPr>
          <w:rFonts w:ascii="Arial" w:cs="Arial" w:eastAsia="Arial" w:hAnsi="Arial"/>
          <w:sz w:val="20"/>
          <w:szCs w:val="20"/>
          <w:color w:val="auto"/>
        </w:rPr>
        <w:t>In connection with the quarterly report of Monster Beverage Corporation (the “Company”) on Form 10-Q for the quarter ended June 30, 2012 as filed with the Securities and Exchange Commission (the “Report”), the undersigned, Rodney C. Sacks, Chairman of the Board of Directors and Chief Executive Officer of the Company, certifies, pursuant to 18 U.S.C. 1350, as adopted pursuant to Section 906 of the Sarbanes-Oxley Act of 2002, that:</w:t>
      </w:r>
    </w:p>
    <w:p>
      <w:pPr>
        <w:spacing w:after="0" w:line="205" w:lineRule="exact"/>
        <w:rPr>
          <w:sz w:val="20"/>
          <w:szCs w:val="20"/>
          <w:color w:val="auto"/>
        </w:rPr>
      </w:pPr>
    </w:p>
    <w:p>
      <w:pPr>
        <w:ind w:left="960" w:hanging="304"/>
        <w:spacing w:after="0"/>
        <w:tabs>
          <w:tab w:leader="none" w:pos="9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29" w:lineRule="exact"/>
        <w:rPr>
          <w:rFonts w:ascii="Arial" w:cs="Arial" w:eastAsia="Arial" w:hAnsi="Arial"/>
          <w:sz w:val="20"/>
          <w:szCs w:val="20"/>
          <w:color w:val="auto"/>
        </w:rPr>
      </w:pPr>
    </w:p>
    <w:p>
      <w:pPr>
        <w:ind w:left="980" w:right="40" w:hanging="324"/>
        <w:spacing w:after="0" w:line="260" w:lineRule="auto"/>
        <w:tabs>
          <w:tab w:leader="none" w:pos="1007"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40" w:type="dxa"/>
            <w:vAlign w:val="bottom"/>
          </w:tcPr>
          <w:p>
            <w:pPr>
              <w:spacing w:after="0"/>
              <w:rPr>
                <w:sz w:val="20"/>
                <w:szCs w:val="20"/>
                <w:color w:val="auto"/>
              </w:rPr>
            </w:pPr>
            <w:r>
              <w:rPr>
                <w:rFonts w:ascii="Arial" w:cs="Arial" w:eastAsia="Arial" w:hAnsi="Arial"/>
                <w:sz w:val="20"/>
                <w:szCs w:val="20"/>
                <w:color w:val="auto"/>
              </w:rPr>
              <w:t>Date:</w:t>
            </w:r>
          </w:p>
        </w:tc>
        <w:tc>
          <w:tcPr>
            <w:tcW w:w="4780" w:type="dxa"/>
            <w:vAlign w:val="bottom"/>
          </w:tcPr>
          <w:p>
            <w:pPr>
              <w:ind w:left="480"/>
              <w:spacing w:after="0"/>
              <w:rPr>
                <w:sz w:val="20"/>
                <w:szCs w:val="20"/>
                <w:color w:val="auto"/>
              </w:rPr>
            </w:pPr>
            <w:r>
              <w:rPr>
                <w:rFonts w:ascii="Arial" w:cs="Arial" w:eastAsia="Arial" w:hAnsi="Arial"/>
                <w:sz w:val="20"/>
                <w:szCs w:val="20"/>
                <w:color w:val="auto"/>
              </w:rPr>
              <w:t>August 9, 2012</w:t>
            </w:r>
          </w:p>
        </w:tc>
        <w:tc>
          <w:tcPr>
            <w:tcW w:w="570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Rodney C. Sacks</w:t>
            </w:r>
          </w:p>
        </w:tc>
        <w:tc>
          <w:tcPr>
            <w:tcW w:w="40" w:type="dxa"/>
            <w:vAlign w:val="bottom"/>
          </w:tcPr>
          <w:p>
            <w:pPr>
              <w:spacing w:after="0"/>
              <w:rPr>
                <w:sz w:val="21"/>
                <w:szCs w:val="21"/>
                <w:color w:val="auto"/>
              </w:rPr>
            </w:pPr>
          </w:p>
        </w:tc>
      </w:tr>
      <w:tr>
        <w:trPr>
          <w:trHeight w:val="206"/>
        </w:trPr>
        <w:tc>
          <w:tcPr>
            <w:tcW w:w="94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5700" w:type="dxa"/>
            <w:vAlign w:val="bottom"/>
          </w:tcPr>
          <w:p>
            <w:pPr>
              <w:ind w:left="100"/>
              <w:spacing w:after="0" w:line="207" w:lineRule="exact"/>
              <w:rPr>
                <w:sz w:val="20"/>
                <w:szCs w:val="20"/>
                <w:color w:val="auto"/>
              </w:rPr>
            </w:pPr>
            <w:r>
              <w:rPr>
                <w:rFonts w:ascii="Arial" w:cs="Arial" w:eastAsia="Arial" w:hAnsi="Arial"/>
                <w:sz w:val="20"/>
                <w:szCs w:val="20"/>
                <w:color w:val="auto"/>
              </w:rPr>
              <w:t>Rodney C. Sacks</w:t>
            </w:r>
          </w:p>
        </w:tc>
        <w:tc>
          <w:tcPr>
            <w:tcW w:w="40" w:type="dxa"/>
            <w:vAlign w:val="bottom"/>
          </w:tcPr>
          <w:p>
            <w:pPr>
              <w:spacing w:after="0"/>
              <w:rPr>
                <w:sz w:val="17"/>
                <w:szCs w:val="17"/>
                <w:color w:val="auto"/>
              </w:rPr>
            </w:pPr>
          </w:p>
        </w:tc>
      </w:tr>
      <w:tr>
        <w:trPr>
          <w:trHeight w:val="230"/>
        </w:trPr>
        <w:tc>
          <w:tcPr>
            <w:tcW w:w="94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5700" w:type="dxa"/>
            <w:vAlign w:val="bottom"/>
          </w:tcPr>
          <w:p>
            <w:pPr>
              <w:ind w:left="100"/>
              <w:spacing w:after="0"/>
              <w:rPr>
                <w:sz w:val="20"/>
                <w:szCs w:val="20"/>
                <w:color w:val="auto"/>
              </w:rPr>
            </w:pPr>
            <w:r>
              <w:rPr>
                <w:rFonts w:ascii="Arial" w:cs="Arial" w:eastAsia="Arial" w:hAnsi="Arial"/>
                <w:sz w:val="20"/>
                <w:szCs w:val="20"/>
                <w:color w:val="auto"/>
              </w:rPr>
              <w:t>Chairman of the Board of Directors</w:t>
            </w:r>
          </w:p>
        </w:tc>
        <w:tc>
          <w:tcPr>
            <w:tcW w:w="40" w:type="dxa"/>
            <w:vAlign w:val="bottom"/>
          </w:tcPr>
          <w:p>
            <w:pPr>
              <w:spacing w:after="0"/>
              <w:rPr>
                <w:sz w:val="19"/>
                <w:szCs w:val="19"/>
                <w:color w:val="auto"/>
              </w:rPr>
            </w:pPr>
          </w:p>
        </w:tc>
      </w:tr>
      <w:tr>
        <w:trPr>
          <w:trHeight w:val="250"/>
        </w:trPr>
        <w:tc>
          <w:tcPr>
            <w:tcW w:w="94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5700" w:type="dxa"/>
            <w:vAlign w:val="bottom"/>
          </w:tcPr>
          <w:p>
            <w:pPr>
              <w:ind w:left="100"/>
              <w:spacing w:after="0"/>
              <w:rPr>
                <w:sz w:val="20"/>
                <w:szCs w:val="20"/>
                <w:color w:val="auto"/>
              </w:rPr>
            </w:pPr>
            <w:r>
              <w:rPr>
                <w:rFonts w:ascii="Arial" w:cs="Arial" w:eastAsia="Arial" w:hAnsi="Arial"/>
                <w:sz w:val="20"/>
                <w:szCs w:val="20"/>
                <w:color w:val="auto"/>
              </w:rPr>
              <w:t>and Chief Executive Officer</w:t>
            </w:r>
          </w:p>
        </w:tc>
        <w:tc>
          <w:tcPr>
            <w:tcW w:w="40" w:type="dxa"/>
            <w:vAlign w:val="bottom"/>
          </w:tcPr>
          <w:p>
            <w:pPr>
              <w:spacing w:after="0"/>
              <w:rPr>
                <w:sz w:val="21"/>
                <w:szCs w:val="21"/>
                <w:color w:val="auto"/>
              </w:rPr>
            </w:pPr>
          </w:p>
        </w:tc>
      </w:tr>
      <w:tr>
        <w:trPr>
          <w:trHeight w:val="357"/>
        </w:trPr>
        <w:tc>
          <w:tcPr>
            <w:tcW w:w="940" w:type="dxa"/>
            <w:vAlign w:val="bottom"/>
            <w:tcBorders>
              <w:bottom w:val="single" w:sz="8" w:color="010101"/>
            </w:tcBorders>
          </w:tcPr>
          <w:p>
            <w:pPr>
              <w:spacing w:after="0"/>
              <w:rPr>
                <w:sz w:val="24"/>
                <w:szCs w:val="24"/>
                <w:color w:val="auto"/>
              </w:rPr>
            </w:pPr>
          </w:p>
        </w:tc>
        <w:tc>
          <w:tcPr>
            <w:tcW w:w="4780" w:type="dxa"/>
            <w:vAlign w:val="bottom"/>
            <w:tcBorders>
              <w:bottom w:val="single" w:sz="8" w:color="010101"/>
            </w:tcBorders>
          </w:tcPr>
          <w:p>
            <w:pPr>
              <w:spacing w:after="0"/>
              <w:rPr>
                <w:sz w:val="24"/>
                <w:szCs w:val="24"/>
                <w:color w:val="auto"/>
              </w:rPr>
            </w:pPr>
          </w:p>
        </w:tc>
        <w:tc>
          <w:tcPr>
            <w:tcW w:w="57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5" w:right="199" w:bottom="1440" w:gutter="0" w:footer="0" w:header="0"/>
        </w:sectPr>
      </w:pPr>
    </w:p>
    <w:bookmarkStart w:id="37" w:name="page38"/>
    <w:bookmarkEnd w:id="37"/>
    <w:p>
      <w:pPr>
        <w:jc w:val="right"/>
        <w:ind w:right="40"/>
        <w:spacing w:after="0"/>
        <w:rPr>
          <w:sz w:val="20"/>
          <w:szCs w:val="20"/>
          <w:color w:val="auto"/>
        </w:rPr>
      </w:pPr>
      <w:r>
        <w:rPr>
          <w:rFonts w:ascii="Arial" w:cs="Arial" w:eastAsia="Arial" w:hAnsi="Arial"/>
          <w:sz w:val="20"/>
          <w:szCs w:val="20"/>
          <w:b w:val="1"/>
          <w:bCs w:val="1"/>
          <w:color w:val="auto"/>
        </w:rPr>
        <w:t>EXHIBIT 32.2</w:t>
      </w:r>
    </w:p>
    <w:p>
      <w:pPr>
        <w:spacing w:after="0" w:line="236"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CERTIFICATION PURSUANT TO</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18 U.S.C. SECTION 1350,</w:t>
      </w:r>
    </w:p>
    <w:p>
      <w:pPr>
        <w:jc w:val="center"/>
        <w:ind w:right="40"/>
        <w:spacing w:after="0"/>
        <w:rPr>
          <w:sz w:val="20"/>
          <w:szCs w:val="20"/>
          <w:color w:val="auto"/>
        </w:rPr>
      </w:pPr>
      <w:r>
        <w:rPr>
          <w:rFonts w:ascii="Arial" w:cs="Arial" w:eastAsia="Arial" w:hAnsi="Arial"/>
          <w:sz w:val="20"/>
          <w:szCs w:val="20"/>
          <w:color w:val="auto"/>
        </w:rPr>
        <w:t>AS ADOPTED PURSUANT TO</w:t>
      </w:r>
    </w:p>
    <w:p>
      <w:pPr>
        <w:jc w:val="center"/>
        <w:ind w:right="40"/>
        <w:spacing w:after="0"/>
        <w:rPr>
          <w:sz w:val="20"/>
          <w:szCs w:val="20"/>
          <w:color w:val="auto"/>
        </w:rPr>
      </w:pPr>
      <w:r>
        <w:rPr>
          <w:rFonts w:ascii="Arial" w:cs="Arial" w:eastAsia="Arial" w:hAnsi="Arial"/>
          <w:sz w:val="20"/>
          <w:szCs w:val="20"/>
          <w:color w:val="auto"/>
        </w:rPr>
        <w:t>SECTION 906 OF THE SARBANES-OXLEY ACT OF 2002</w:t>
      </w:r>
    </w:p>
    <w:p>
      <w:pPr>
        <w:spacing w:after="0" w:line="213" w:lineRule="exact"/>
        <w:rPr>
          <w:sz w:val="20"/>
          <w:szCs w:val="20"/>
          <w:color w:val="auto"/>
        </w:rPr>
      </w:pPr>
    </w:p>
    <w:p>
      <w:pPr>
        <w:jc w:val="both"/>
        <w:ind w:right="40"/>
        <w:spacing w:after="0" w:line="246" w:lineRule="auto"/>
        <w:rPr>
          <w:sz w:val="20"/>
          <w:szCs w:val="20"/>
          <w:color w:val="auto"/>
        </w:rPr>
      </w:pPr>
      <w:r>
        <w:rPr>
          <w:rFonts w:ascii="Arial" w:cs="Arial" w:eastAsia="Arial" w:hAnsi="Arial"/>
          <w:sz w:val="20"/>
          <w:szCs w:val="20"/>
          <w:color w:val="auto"/>
        </w:rPr>
        <w:t>In connection with the quarterly report of Monster Beverage Corporation (the “Company”) on Form 10-Q for the quarter ended June 30, 2012 as filed with the Securities and Exchange Commission (the “Report”), the undersigned, Hilton H. Schlosberg, Vice Chairman of the Board of Directors, President, Chief Operating Officer, Chief Financial Officer and Secretary of the Company, certifies, pursuant to 18 U.S.C. 1350, as adopted pursuant to Section 906 of the Sarbanes-Oxley Act of 2002, that:</w:t>
      </w:r>
    </w:p>
    <w:p>
      <w:pPr>
        <w:spacing w:after="0" w:line="205" w:lineRule="exact"/>
        <w:rPr>
          <w:sz w:val="20"/>
          <w:szCs w:val="20"/>
          <w:color w:val="auto"/>
        </w:rPr>
      </w:pPr>
    </w:p>
    <w:p>
      <w:pPr>
        <w:ind w:left="960" w:hanging="304"/>
        <w:spacing w:after="0"/>
        <w:tabs>
          <w:tab w:leader="none" w:pos="9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29" w:lineRule="exact"/>
        <w:rPr>
          <w:rFonts w:ascii="Arial" w:cs="Arial" w:eastAsia="Arial" w:hAnsi="Arial"/>
          <w:sz w:val="20"/>
          <w:szCs w:val="20"/>
          <w:color w:val="auto"/>
        </w:rPr>
      </w:pPr>
    </w:p>
    <w:p>
      <w:pPr>
        <w:ind w:left="980" w:right="40" w:hanging="324"/>
        <w:spacing w:after="0" w:line="260" w:lineRule="auto"/>
        <w:tabs>
          <w:tab w:leader="none" w:pos="1007"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80" w:type="dxa"/>
            <w:vAlign w:val="bottom"/>
          </w:tcPr>
          <w:p>
            <w:pPr>
              <w:spacing w:after="0"/>
              <w:rPr>
                <w:sz w:val="20"/>
                <w:szCs w:val="20"/>
                <w:color w:val="auto"/>
              </w:rPr>
            </w:pPr>
            <w:r>
              <w:rPr>
                <w:rFonts w:ascii="Arial" w:cs="Arial" w:eastAsia="Arial" w:hAnsi="Arial"/>
                <w:sz w:val="20"/>
                <w:szCs w:val="20"/>
                <w:color w:val="auto"/>
              </w:rPr>
              <w:t>Date:</w:t>
            </w:r>
          </w:p>
        </w:tc>
        <w:tc>
          <w:tcPr>
            <w:tcW w:w="4840" w:type="dxa"/>
            <w:vAlign w:val="bottom"/>
          </w:tcPr>
          <w:p>
            <w:pPr>
              <w:ind w:left="440"/>
              <w:spacing w:after="0"/>
              <w:rPr>
                <w:sz w:val="20"/>
                <w:szCs w:val="20"/>
                <w:color w:val="auto"/>
              </w:rPr>
            </w:pPr>
            <w:r>
              <w:rPr>
                <w:rFonts w:ascii="Arial" w:cs="Arial" w:eastAsia="Arial" w:hAnsi="Arial"/>
                <w:sz w:val="20"/>
                <w:szCs w:val="20"/>
                <w:color w:val="auto"/>
              </w:rPr>
              <w:t>August 9, 2012</w:t>
            </w:r>
          </w:p>
        </w:tc>
        <w:tc>
          <w:tcPr>
            <w:tcW w:w="570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Hilton H. Schlosberg</w:t>
            </w:r>
          </w:p>
        </w:tc>
        <w:tc>
          <w:tcPr>
            <w:tcW w:w="40" w:type="dxa"/>
            <w:vAlign w:val="bottom"/>
          </w:tcPr>
          <w:p>
            <w:pPr>
              <w:spacing w:after="0"/>
              <w:rPr>
                <w:sz w:val="21"/>
                <w:szCs w:val="21"/>
                <w:color w:val="auto"/>
              </w:rPr>
            </w:pPr>
          </w:p>
        </w:tc>
      </w:tr>
      <w:tr>
        <w:trPr>
          <w:trHeight w:val="206"/>
        </w:trPr>
        <w:tc>
          <w:tcPr>
            <w:tcW w:w="88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5700" w:type="dxa"/>
            <w:vAlign w:val="bottom"/>
          </w:tcPr>
          <w:p>
            <w:pPr>
              <w:ind w:left="100"/>
              <w:spacing w:after="0" w:line="207" w:lineRule="exact"/>
              <w:rPr>
                <w:sz w:val="20"/>
                <w:szCs w:val="20"/>
                <w:color w:val="auto"/>
              </w:rPr>
            </w:pPr>
            <w:r>
              <w:rPr>
                <w:rFonts w:ascii="Arial" w:cs="Arial" w:eastAsia="Arial" w:hAnsi="Arial"/>
                <w:sz w:val="20"/>
                <w:szCs w:val="20"/>
                <w:color w:val="auto"/>
              </w:rPr>
              <w:t>Hilton H. Schlosberg</w:t>
            </w:r>
          </w:p>
        </w:tc>
        <w:tc>
          <w:tcPr>
            <w:tcW w:w="40" w:type="dxa"/>
            <w:vAlign w:val="bottom"/>
          </w:tcPr>
          <w:p>
            <w:pPr>
              <w:spacing w:after="0"/>
              <w:rPr>
                <w:sz w:val="17"/>
                <w:szCs w:val="17"/>
                <w:color w:val="auto"/>
              </w:rPr>
            </w:pPr>
          </w:p>
        </w:tc>
      </w:tr>
      <w:tr>
        <w:trPr>
          <w:trHeight w:val="230"/>
        </w:trPr>
        <w:tc>
          <w:tcPr>
            <w:tcW w:w="88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5700" w:type="dxa"/>
            <w:vAlign w:val="bottom"/>
          </w:tcPr>
          <w:p>
            <w:pPr>
              <w:ind w:left="100"/>
              <w:spacing w:after="0"/>
              <w:rPr>
                <w:sz w:val="20"/>
                <w:szCs w:val="20"/>
                <w:color w:val="auto"/>
              </w:rPr>
            </w:pPr>
            <w:r>
              <w:rPr>
                <w:rFonts w:ascii="Arial" w:cs="Arial" w:eastAsia="Arial" w:hAnsi="Arial"/>
                <w:sz w:val="20"/>
                <w:szCs w:val="20"/>
                <w:color w:val="auto"/>
              </w:rPr>
              <w:t>Vice Chairman of the Board of Directors,</w:t>
            </w:r>
          </w:p>
        </w:tc>
        <w:tc>
          <w:tcPr>
            <w:tcW w:w="40" w:type="dxa"/>
            <w:vAlign w:val="bottom"/>
          </w:tcPr>
          <w:p>
            <w:pPr>
              <w:spacing w:after="0"/>
              <w:rPr>
                <w:sz w:val="19"/>
                <w:szCs w:val="19"/>
                <w:color w:val="auto"/>
              </w:rPr>
            </w:pPr>
          </w:p>
        </w:tc>
      </w:tr>
      <w:tr>
        <w:trPr>
          <w:trHeight w:val="230"/>
        </w:trPr>
        <w:tc>
          <w:tcPr>
            <w:tcW w:w="88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5700" w:type="dxa"/>
            <w:vAlign w:val="bottom"/>
          </w:tcPr>
          <w:p>
            <w:pPr>
              <w:ind w:left="100"/>
              <w:spacing w:after="0"/>
              <w:rPr>
                <w:sz w:val="20"/>
                <w:szCs w:val="20"/>
                <w:color w:val="auto"/>
              </w:rPr>
            </w:pPr>
            <w:r>
              <w:rPr>
                <w:rFonts w:ascii="Arial" w:cs="Arial" w:eastAsia="Arial" w:hAnsi="Arial"/>
                <w:sz w:val="20"/>
                <w:szCs w:val="20"/>
                <w:color w:val="auto"/>
              </w:rPr>
              <w:t>President, Chief Operating Officer, Chief</w:t>
            </w:r>
          </w:p>
        </w:tc>
        <w:tc>
          <w:tcPr>
            <w:tcW w:w="40" w:type="dxa"/>
            <w:vAlign w:val="bottom"/>
          </w:tcPr>
          <w:p>
            <w:pPr>
              <w:spacing w:after="0"/>
              <w:rPr>
                <w:sz w:val="19"/>
                <w:szCs w:val="19"/>
                <w:color w:val="auto"/>
              </w:rPr>
            </w:pPr>
          </w:p>
        </w:tc>
      </w:tr>
      <w:tr>
        <w:trPr>
          <w:trHeight w:val="250"/>
        </w:trPr>
        <w:tc>
          <w:tcPr>
            <w:tcW w:w="88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5700" w:type="dxa"/>
            <w:vAlign w:val="bottom"/>
          </w:tcPr>
          <w:p>
            <w:pPr>
              <w:ind w:left="100"/>
              <w:spacing w:after="0"/>
              <w:rPr>
                <w:sz w:val="20"/>
                <w:szCs w:val="20"/>
                <w:color w:val="auto"/>
              </w:rPr>
            </w:pPr>
            <w:r>
              <w:rPr>
                <w:rFonts w:ascii="Arial" w:cs="Arial" w:eastAsia="Arial" w:hAnsi="Arial"/>
                <w:sz w:val="20"/>
                <w:szCs w:val="20"/>
                <w:color w:val="auto"/>
              </w:rPr>
              <w:t>Financial Officer and Secretary</w:t>
            </w:r>
          </w:p>
        </w:tc>
        <w:tc>
          <w:tcPr>
            <w:tcW w:w="40" w:type="dxa"/>
            <w:vAlign w:val="bottom"/>
          </w:tcPr>
          <w:p>
            <w:pPr>
              <w:spacing w:after="0"/>
              <w:rPr>
                <w:sz w:val="21"/>
                <w:szCs w:val="21"/>
                <w:color w:val="auto"/>
              </w:rPr>
            </w:pPr>
          </w:p>
        </w:tc>
      </w:tr>
      <w:tr>
        <w:trPr>
          <w:trHeight w:val="357"/>
        </w:trPr>
        <w:tc>
          <w:tcPr>
            <w:tcW w:w="880" w:type="dxa"/>
            <w:vAlign w:val="bottom"/>
            <w:tcBorders>
              <w:bottom w:val="single" w:sz="8" w:color="010101"/>
            </w:tcBorders>
          </w:tcPr>
          <w:p>
            <w:pPr>
              <w:spacing w:after="0"/>
              <w:rPr>
                <w:sz w:val="24"/>
                <w:szCs w:val="24"/>
                <w:color w:val="auto"/>
              </w:rPr>
            </w:pPr>
          </w:p>
        </w:tc>
        <w:tc>
          <w:tcPr>
            <w:tcW w:w="4840" w:type="dxa"/>
            <w:vAlign w:val="bottom"/>
            <w:tcBorders>
              <w:bottom w:val="single" w:sz="8" w:color="010101"/>
            </w:tcBorders>
          </w:tcPr>
          <w:p>
            <w:pPr>
              <w:spacing w:after="0"/>
              <w:rPr>
                <w:sz w:val="24"/>
                <w:szCs w:val="24"/>
                <w:color w:val="auto"/>
              </w:rPr>
            </w:pPr>
          </w:p>
        </w:tc>
        <w:tc>
          <w:tcPr>
            <w:tcW w:w="57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16"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decimal"/>
      <w:start w:val="1"/>
    </w:lvl>
  </w:abstractNum>
  <w:abstractNum w:abstractNumId="1">
    <w:nsid w:val="6B68079A"/>
    <w:multiLevelType w:val="hybridMultilevel"/>
    <w:lvl w:ilvl="0">
      <w:lvlJc w:val="left"/>
      <w:lvlText w:val="%1."/>
      <w:numFmt w:val="decimal"/>
      <w:start w:val="2"/>
    </w:lvl>
  </w:abstractNum>
  <w:abstractNum w:abstractNumId="2">
    <w:nsid w:val="4E6AFB66"/>
    <w:multiLevelType w:val="hybridMultilevel"/>
    <w:lvl w:ilvl="0">
      <w:lvlJc w:val="left"/>
      <w:lvlText w:val="%1."/>
      <w:numFmt w:val="decimal"/>
      <w:start w:val="3"/>
    </w:lvl>
  </w:abstractNum>
  <w:abstractNum w:abstractNumId="3">
    <w:nsid w:val="25E45D32"/>
    <w:multiLevelType w:val="hybridMultilevel"/>
    <w:lvl w:ilvl="0">
      <w:lvlJc w:val="left"/>
      <w:lvlText w:val="%1."/>
      <w:numFmt w:val="decimal"/>
      <w:start w:val="4"/>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1)"/>
      <w:numFmt w:val="lowerRoman"/>
      <w:start w:val="3"/>
    </w:lvl>
  </w:abstractNum>
  <w:abstractNum w:abstractNumId="6">
    <w:nsid w:val="3F2DBA31"/>
    <w:multiLevelType w:val="hybridMultilevel"/>
    <w:lvl w:ilvl="0">
      <w:lvlJc w:val="left"/>
      <w:lvlText w:val="(%1)"/>
      <w:numFmt w:val="lowerRoman"/>
      <w:start w:val="4"/>
    </w:lvl>
  </w:abstractNum>
  <w:abstractNum w:abstractNumId="7">
    <w:nsid w:val="7C83E458"/>
    <w:multiLevelType w:val="hybridMultilevel"/>
    <w:lvl w:ilvl="0">
      <w:lvlJc w:val="left"/>
      <w:lvlText w:val="%1."/>
      <w:numFmt w:val="decimal"/>
      <w:start w:val="5"/>
    </w:lvl>
  </w:abstractNum>
  <w:abstractNum w:abstractNumId="8">
    <w:nsid w:val="257130A3"/>
    <w:multiLevelType w:val="hybridMultilevel"/>
    <w:lvl w:ilvl="0">
      <w:lvlJc w:val="left"/>
      <w:lvlText w:val="%1."/>
      <w:numFmt w:val="decimal"/>
      <w:start w:val="6"/>
    </w:lvl>
  </w:abstractNum>
  <w:abstractNum w:abstractNumId="9">
    <w:nsid w:val="62BBD95A"/>
    <w:multiLevelType w:val="hybridMultilevel"/>
    <w:lvl w:ilvl="0">
      <w:lvlJc w:val="left"/>
      <w:lvlText w:val="%1."/>
      <w:numFmt w:val="decimal"/>
      <w:start w:val="7"/>
    </w:lvl>
  </w:abstractNum>
  <w:abstractNum w:abstractNumId="10">
    <w:nsid w:val="436C6125"/>
    <w:multiLevelType w:val="hybridMultilevel"/>
    <w:lvl w:ilvl="0">
      <w:lvlJc w:val="left"/>
      <w:lvlText w:val="%1."/>
      <w:numFmt w:val="decimal"/>
      <w:start w:val="8"/>
    </w:lvl>
  </w:abstractNum>
  <w:abstractNum w:abstractNumId="11">
    <w:nsid w:val="628C895D"/>
    <w:multiLevelType w:val="hybridMultilevel"/>
    <w:lvl w:ilvl="0">
      <w:lvlJc w:val="left"/>
      <w:lvlText w:val="%1."/>
      <w:numFmt w:val="decimal"/>
      <w:start w:val="9"/>
    </w:lvl>
  </w:abstractNum>
  <w:abstractNum w:abstractNumId="12">
    <w:nsid w:val="333AB105"/>
    <w:multiLevelType w:val="hybridMultilevel"/>
    <w:lvl w:ilvl="0">
      <w:lvlJc w:val="left"/>
      <w:lvlText w:val="%1."/>
      <w:numFmt w:val="decimal"/>
      <w:start w:val="10"/>
    </w:lvl>
  </w:abstractNum>
  <w:abstractNum w:abstractNumId="13">
    <w:nsid w:val="721DA317"/>
    <w:multiLevelType w:val="hybridMultilevel"/>
    <w:lvl w:ilvl="0">
      <w:lvlJc w:val="left"/>
      <w:lvlText w:val="%1."/>
      <w:numFmt w:val="decimal"/>
      <w:start w:val="11"/>
    </w:lvl>
  </w:abstractNum>
  <w:abstractNum w:abstractNumId="14">
    <w:nsid w:val="2443A858"/>
    <w:multiLevelType w:val="hybridMultilevel"/>
    <w:lvl w:ilvl="0">
      <w:lvlJc w:val="left"/>
      <w:lvlText w:val="%1."/>
      <w:numFmt w:val="decimal"/>
      <w:start w:val="12"/>
    </w:lvl>
  </w:abstractNum>
  <w:abstractNum w:abstractNumId="15">
    <w:nsid w:val="2D1D5AE9"/>
    <w:multiLevelType w:val="hybridMultilevel"/>
    <w:lvl w:ilvl="0">
      <w:lvlJc w:val="left"/>
      <w:lvlText w:val="%1."/>
      <w:numFmt w:val="decimal"/>
      <w:start w:val="13"/>
    </w:lvl>
  </w:abstractNum>
  <w:abstractNum w:abstractNumId="16">
    <w:nsid w:val="6763845E"/>
    <w:multiLevelType w:val="hybridMultilevel"/>
    <w:lvl w:ilvl="0">
      <w:lvlJc w:val="left"/>
      <w:lvlText w:val="%1."/>
      <w:numFmt w:val="decimal"/>
      <w:start w:val="14"/>
    </w:lvl>
  </w:abstractNum>
  <w:abstractNum w:abstractNumId="17">
    <w:nsid w:val="75A2A8D4"/>
    <w:multiLevelType w:val="hybridMultilevel"/>
    <w:lvl w:ilvl="0">
      <w:lvlJc w:val="left"/>
      <w:lvlText w:val="%1."/>
      <w:numFmt w:val="decimal"/>
      <w:start w:val="15"/>
    </w:lvl>
  </w:abstractNum>
  <w:abstractNum w:abstractNumId="18">
    <w:nsid w:val="8EDBDAB"/>
    <w:multiLevelType w:val="hybridMultilevel"/>
    <w:lvl w:ilvl="0">
      <w:lvlJc w:val="left"/>
      <w:lvlText w:val="%1."/>
      <w:numFmt w:val="decimal"/>
      <w:start w:val="16"/>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2019-12-09T10:22:04Z</dcterms:created>
  <dcterms:modified xsi:type="dcterms:W3CDTF">2019-12-09T10:22:04Z</dcterms:modified>
</cp:coreProperties>
</file>