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mnst-20230630x10q.htm"/>
        <w:bookmarkStart w:id="1" w:name="ksmnst2023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0"/>
        <w:ind w:left="0" w:right="0" w:hanging="0"/>
        <w:jc w:val="left"/>
        <w:rPr/>
      </w:pPr>
      <w:r>
        <w:rPr/>
        <w:t>​</w:t>
      </w:r>
    </w:p>
    <w:p>
      <w:pPr>
        <w:pStyle w:val="TextBody"/>
        <w:bidi w:val="0"/>
        <w:spacing w:before="0" w:after="0"/>
        <w:ind w:left="0" w:right="0" w:hanging="0"/>
        <w:jc w:val="left"/>
        <w:rPr/>
      </w:pPr>
      <w:bookmarkStart w:id="2" w:name="_a21a2188_b261_49f6_a30a_9073051526dc"/>
      <w:bookmarkEnd w:id="2"/>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Form 10-Q</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b/>
          <w:sz w:val="24"/>
        </w:rPr>
        <w:t>Quarterly</w:t>
      </w:r>
      <w:r>
        <w:rPr>
          <w:rFonts w:ascii="Times New Roman;Times;serif" w:hAnsi="Times New Roman;Times;serif"/>
          <w:sz w:val="24"/>
        </w:rPr>
        <w:t xml:space="preserve"> </w:t>
      </w:r>
      <w:r>
        <w:rPr>
          <w:rFonts w:ascii="Times New Roman;Times;serif" w:hAnsi="Times New Roman;Times;serif"/>
          <w:b/>
          <w:sz w:val="24"/>
        </w:rPr>
        <w:t>Report</w:t>
      </w:r>
      <w:r>
        <w:rPr>
          <w:rFonts w:ascii="Times New Roman;Times;serif" w:hAnsi="Times New Roman;Times;serif"/>
          <w:sz w:val="24"/>
        </w:rPr>
        <w:t xml:space="preserve"> </w:t>
      </w:r>
      <w:r>
        <w:rPr>
          <w:rFonts w:ascii="Times New Roman;Times;serif" w:hAnsi="Times New Roman;Times;serif"/>
          <w:b/>
          <w:sz w:val="24"/>
        </w:rPr>
        <w:t>Pursuant to Section 13 or 15(d)</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of the Securities Exchange Act of 1934</w:t>
      </w:r>
    </w:p>
    <w:p>
      <w:pPr>
        <w:pStyle w:val="TextBody"/>
        <w:bidi w:val="0"/>
        <w:spacing w:before="0" w:after="0"/>
        <w:ind w:left="0" w:right="0" w:hanging="0"/>
        <w:jc w:val="center"/>
        <w:rPr/>
      </w:pPr>
      <w:r>
        <w:rPr/>
        <w:t>​</w:t>
      </w:r>
    </w:p>
    <w:tbl>
      <w:tblPr>
        <w:tblW w:w="7041" w:type="dxa"/>
        <w:jc w:val="left"/>
        <w:tblInd w:w="0" w:type="dxa"/>
        <w:tblLayout w:type="fixed"/>
        <w:tblCellMar>
          <w:top w:w="0" w:type="dxa"/>
          <w:left w:w="0" w:type="dxa"/>
          <w:bottom w:w="0" w:type="dxa"/>
          <w:right w:w="0" w:type="dxa"/>
        </w:tblCellMar>
      </w:tblPr>
      <w:tblGrid>
        <w:gridCol w:w="3766"/>
        <w:gridCol w:w="3121"/>
        <w:gridCol w:w="154"/>
      </w:tblGrid>
      <w:tr>
        <w:trPr/>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quarterly period ended June 30, 2023</w:t>
            </w:r>
          </w:p>
        </w:tc>
        <w:tc>
          <w:tcPr>
            <w:tcW w:w="31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Commission File Number 001-18761</w:t>
            </w:r>
          </w:p>
        </w:tc>
        <w:tc>
          <w:tcPr>
            <w:tcW w:w="15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MONSTER BEVERAGE CORPORATION</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qqwDxZeLO0K-wUy5oelxVw_4_2"/>
      <w:bookmarkStart w:id="4" w:name="Tc_jrFGkoO2kE60JUOwVLOQWw_4_0"/>
      <w:bookmarkStart w:id="5" w:name="Tc_jMoxLF3dtE-Ua4i4vI-TsQ_3_2"/>
      <w:bookmarkStart w:id="6" w:name="Tc_hCsIYGrPfkCmQm6Vsiz-uA_3_0"/>
      <w:bookmarkStart w:id="7" w:name="_7c34c122_80de_42ce_bdc9_cb651d4bdee5"/>
      <w:bookmarkStart w:id="8" w:name="Tc_qqwDxZeLO0K-wUy5oelxVw_4_2"/>
      <w:bookmarkStart w:id="9" w:name="Tc_jrFGkoO2kE60JUOwVLOQWw_4_0"/>
      <w:bookmarkStart w:id="10" w:name="Tc_jMoxLF3dtE-Ua4i4vI-TsQ_3_2"/>
      <w:bookmarkStart w:id="11" w:name="Tc_hCsIYGrPfkCmQm6Vsiz-uA_3_0"/>
      <w:bookmarkStart w:id="12" w:name="_7c34c122_80de_42ce_bdc9_cb651d4bdee5"/>
      <w:bookmarkEnd w:id="8"/>
      <w:bookmarkEnd w:id="9"/>
      <w:bookmarkEnd w:id="10"/>
      <w:bookmarkEnd w:id="11"/>
      <w:bookmarkEnd w:id="12"/>
    </w:p>
    <w:tbl>
      <w:tblPr>
        <w:tblW w:w="4003" w:type="dxa"/>
        <w:jc w:val="left"/>
        <w:tblInd w:w="0" w:type="dxa"/>
        <w:tblLayout w:type="fixed"/>
        <w:tblCellMar>
          <w:top w:w="0" w:type="dxa"/>
          <w:left w:w="0" w:type="dxa"/>
          <w:bottom w:w="0" w:type="dxa"/>
          <w:right w:w="0" w:type="dxa"/>
        </w:tblCellMar>
      </w:tblPr>
      <w:tblGrid>
        <w:gridCol w:w="2236"/>
        <w:gridCol w:w="326"/>
        <w:gridCol w:w="1441"/>
      </w:tblGrid>
      <w:tr>
        <w:trPr/>
        <w:tc>
          <w:tcPr>
            <w:tcW w:w="22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441" w:type="dxa"/>
            <w:tcBorders/>
            <w:vAlign w:val="center"/>
          </w:tcPr>
          <w:p>
            <w:pPr>
              <w:pStyle w:val="TableContents"/>
              <w:bidi w:val="0"/>
              <w:spacing w:before="0" w:after="283"/>
              <w:ind w:left="0" w:right="0" w:hanging="0"/>
              <w:jc w:val="left"/>
              <w:rPr>
                <w:sz w:val="4"/>
                <w:szCs w:val="4"/>
              </w:rPr>
            </w:pPr>
            <w:r>
              <w:rPr>
                <w:sz w:val="4"/>
                <w:szCs w:val="4"/>
              </w:rPr>
            </w:r>
          </w:p>
        </w:tc>
      </w:tr>
      <w:tr>
        <w:trPr/>
        <w:tc>
          <w:tcPr>
            <w:tcW w:w="22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441" w:type="dxa"/>
            <w:tcBorders/>
            <w:vAlign w:val="center"/>
          </w:tcPr>
          <w:p>
            <w:pPr>
              <w:pStyle w:val="TableContents"/>
              <w:bidi w:val="0"/>
              <w:spacing w:before="0" w:after="283"/>
              <w:ind w:left="0" w:right="0" w:hanging="0"/>
              <w:jc w:val="left"/>
              <w:rPr>
                <w:sz w:val="4"/>
                <w:szCs w:val="4"/>
              </w:rPr>
            </w:pPr>
            <w:r>
              <w:rPr>
                <w:sz w:val="4"/>
                <w:szCs w:val="4"/>
              </w:rPr>
            </w:r>
          </w:p>
        </w:tc>
      </w:tr>
      <w:tr>
        <w:trPr/>
        <w:tc>
          <w:tcPr>
            <w:tcW w:w="223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c>
          <w:tcPr>
            <w:tcW w:w="32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47-1809393</w:t>
            </w:r>
          </w:p>
        </w:tc>
      </w:tr>
      <w:tr>
        <w:trPr/>
        <w:tc>
          <w:tcPr>
            <w:tcW w:w="2236" w:type="dxa"/>
            <w:tcBorders/>
            <w:vAlign w:val="center"/>
          </w:tcPr>
          <w:p>
            <w:pPr>
              <w:pStyle w:val="TableContents"/>
              <w:pBdr/>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w:t>
            </w:r>
          </w:p>
        </w:tc>
        <w:tc>
          <w:tcPr>
            <w:tcW w:w="32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(I.R.S. Employer</w:t>
            </w:r>
          </w:p>
        </w:tc>
      </w:tr>
      <w:tr>
        <w:trPr/>
        <w:tc>
          <w:tcPr>
            <w:tcW w:w="2236" w:type="dxa"/>
            <w:tcBorders/>
            <w:vAlign w:val="center"/>
          </w:tcPr>
          <w:p>
            <w:pPr>
              <w:pStyle w:val="TableContents"/>
              <w:pBdr/>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incorporation or organization)</w:t>
            </w:r>
          </w:p>
        </w:tc>
        <w:tc>
          <w:tcPr>
            <w:tcW w:w="32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 Monster Way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Corona, California 92879</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 (Zip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(951) 739 - 6200</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3" w:name="Tc_qvg7AbO0qkuNhgCmw7O-fg_1_2"/>
      <w:bookmarkStart w:id="14" w:name="Tc_g1EirO7jhE2K0xl_jCtHIA_1_1"/>
      <w:bookmarkStart w:id="15" w:name="Tc_I9Cg_BZ3SkiG0Yeu2iwtRg_1_0"/>
      <w:bookmarkStart w:id="16" w:name="_fa178305_9a1f_42a6_93c4_acbfe5acb49e"/>
      <w:bookmarkStart w:id="17" w:name="Tc_qvg7AbO0qkuNhgCmw7O-fg_1_2"/>
      <w:bookmarkStart w:id="18" w:name="Tc_g1EirO7jhE2K0xl_jCtHIA_1_1"/>
      <w:bookmarkStart w:id="19" w:name="Tc_I9Cg_BZ3SkiG0Yeu2iwtRg_1_0"/>
      <w:bookmarkStart w:id="20" w:name="_fa178305_9a1f_42a6_93c4_acbfe5acb49e"/>
      <w:bookmarkEnd w:id="17"/>
      <w:bookmarkEnd w:id="18"/>
      <w:bookmarkEnd w:id="19"/>
      <w:bookmarkEnd w:id="20"/>
    </w:p>
    <w:tbl>
      <w:tblPr>
        <w:tblW w:w="6903" w:type="dxa"/>
        <w:jc w:val="left"/>
        <w:tblInd w:w="0" w:type="dxa"/>
        <w:tblLayout w:type="fixed"/>
        <w:tblCellMar>
          <w:top w:w="0" w:type="dxa"/>
          <w:left w:w="0" w:type="dxa"/>
          <w:bottom w:w="0" w:type="dxa"/>
          <w:right w:w="0" w:type="dxa"/>
        </w:tblCellMar>
      </w:tblPr>
      <w:tblGrid>
        <w:gridCol w:w="1576"/>
        <w:gridCol w:w="1621"/>
        <w:gridCol w:w="3706"/>
      </w:tblGrid>
      <w:tr>
        <w:trPr/>
        <w:tc>
          <w:tcPr>
            <w:tcW w:w="1576" w:type="dxa"/>
            <w:tcBorders/>
            <w:vAlign w:val="center"/>
          </w:tcPr>
          <w:p>
            <w:pPr>
              <w:pStyle w:val="TableContents"/>
              <w:bidi w:val="0"/>
              <w:spacing w:before="0" w:after="283"/>
              <w:ind w:left="0" w:right="0" w:hanging="0"/>
              <w:jc w:val="left"/>
              <w:rPr>
                <w:sz w:val="4"/>
                <w:szCs w:val="4"/>
              </w:rPr>
            </w:pPr>
            <w:r>
              <w:rPr>
                <w:sz w:val="4"/>
                <w:szCs w:val="4"/>
              </w:rPr>
            </w:r>
          </w:p>
        </w:tc>
        <w:tc>
          <w:tcPr>
            <w:tcW w:w="1621" w:type="dxa"/>
            <w:tcBorders/>
            <w:vAlign w:val="center"/>
          </w:tcPr>
          <w:p>
            <w:pPr>
              <w:pStyle w:val="TableContents"/>
              <w:bidi w:val="0"/>
              <w:spacing w:before="0" w:after="283"/>
              <w:ind w:left="0" w:right="0" w:hanging="0"/>
              <w:jc w:val="left"/>
              <w:rPr>
                <w:sz w:val="4"/>
                <w:szCs w:val="4"/>
              </w:rPr>
            </w:pPr>
            <w:r>
              <w:rPr>
                <w:sz w:val="4"/>
                <w:szCs w:val="4"/>
              </w:rPr>
            </w:r>
          </w:p>
        </w:tc>
        <w:tc>
          <w:tcPr>
            <w:tcW w:w="3706" w:type="dxa"/>
            <w:tcBorders/>
            <w:vAlign w:val="center"/>
          </w:tcPr>
          <w:p>
            <w:pPr>
              <w:pStyle w:val="TableContents"/>
              <w:bidi w:val="0"/>
              <w:spacing w:before="0" w:after="283"/>
              <w:ind w:left="0" w:right="0" w:hanging="0"/>
              <w:jc w:val="left"/>
              <w:rPr>
                <w:sz w:val="4"/>
                <w:szCs w:val="4"/>
              </w:rPr>
            </w:pPr>
            <w:r>
              <w:rPr>
                <w:sz w:val="4"/>
                <w:szCs w:val="4"/>
              </w:rPr>
            </w:r>
          </w:p>
        </w:tc>
      </w:tr>
      <w:tr>
        <w:trPr/>
        <w:tc>
          <w:tcPr>
            <w:tcW w:w="15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621"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3706"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15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w:t>
            </w:r>
          </w:p>
        </w:tc>
        <w:tc>
          <w:tcPr>
            <w:tcW w:w="1621"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MNST</w:t>
            </w:r>
          </w:p>
        </w:tc>
        <w:tc>
          <w:tcPr>
            <w:tcW w:w="3706"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Yes  X    No __</w:t>
      </w:r>
    </w:p>
    <w:p>
      <w:pPr>
        <w:pStyle w:val="TextBody"/>
        <w:bidi w:val="0"/>
        <w:spacing w:before="0" w:after="0"/>
        <w:ind w:left="0" w:right="0" w:hanging="0"/>
        <w:jc w:val="center"/>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Yes  X    No __</w:t>
      </w:r>
    </w:p>
    <w:p>
      <w:pPr>
        <w:pStyle w:val="TextBody"/>
        <w:bidi w:val="0"/>
        <w:spacing w:before="0" w:after="0"/>
        <w:ind w:left="0" w:right="0" w:hanging="0"/>
        <w:jc w:val="center"/>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720"/>
        <w:jc w:val="both"/>
        <w:rPr/>
      </w:pPr>
      <w:r>
        <w:rPr/>
        <w:t>​</w:t>
      </w:r>
    </w:p>
    <w:tbl>
      <w:tblPr>
        <w:tblW w:w="4725" w:type="dxa"/>
        <w:jc w:val="left"/>
        <w:tblInd w:w="0" w:type="dxa"/>
        <w:tblLayout w:type="fixed"/>
        <w:tblCellMar>
          <w:top w:w="0" w:type="dxa"/>
          <w:left w:w="0" w:type="dxa"/>
          <w:bottom w:w="0" w:type="dxa"/>
          <w:right w:w="0" w:type="dxa"/>
        </w:tblCellMar>
      </w:tblPr>
      <w:tblGrid>
        <w:gridCol w:w="1141"/>
        <w:gridCol w:w="1004"/>
        <w:gridCol w:w="1068"/>
        <w:gridCol w:w="1512"/>
      </w:tblGrid>
      <w:tr>
        <w:trPr/>
        <w:tc>
          <w:tcPr>
            <w:tcW w:w="1141" w:type="dxa"/>
            <w:tcBorders/>
            <w:vAlign w:val="center"/>
          </w:tcPr>
          <w:p>
            <w:pPr>
              <w:pStyle w:val="TableContents"/>
              <w:bidi w:val="0"/>
              <w:spacing w:before="0" w:after="0"/>
              <w:ind w:left="0" w:right="0" w:hanging="0"/>
              <w:jc w:val="left"/>
              <w:rPr/>
            </w:pPr>
            <w:r>
              <w:rPr/>
              <w:t>​</w:t>
            </w:r>
          </w:p>
        </w:tc>
        <w:tc>
          <w:tcPr>
            <w:tcW w:w="1004" w:type="dxa"/>
            <w:tcBorders/>
            <w:vAlign w:val="center"/>
          </w:tcPr>
          <w:p>
            <w:pPr>
              <w:pStyle w:val="TableContents"/>
              <w:bidi w:val="0"/>
              <w:spacing w:before="0" w:after="0"/>
              <w:ind w:left="0" w:right="0" w:hanging="0"/>
              <w:jc w:val="left"/>
              <w:rPr/>
            </w:pPr>
            <w:r>
              <w:rPr/>
              <w:t>​</w:t>
            </w:r>
          </w:p>
        </w:tc>
        <w:tc>
          <w:tcPr>
            <w:tcW w:w="1068" w:type="dxa"/>
            <w:tcBorders/>
            <w:vAlign w:val="center"/>
          </w:tcPr>
          <w:p>
            <w:pPr>
              <w:pStyle w:val="TableContents"/>
              <w:bidi w:val="0"/>
              <w:spacing w:before="0" w:after="0"/>
              <w:ind w:left="0" w:right="0" w:hanging="0"/>
              <w:jc w:val="left"/>
              <w:rPr/>
            </w:pPr>
            <w:r>
              <w:rPr/>
              <w:t>​</w:t>
            </w:r>
          </w:p>
        </w:tc>
        <w:tc>
          <w:tcPr>
            <w:tcW w:w="1512" w:type="dxa"/>
            <w:tcBorders/>
            <w:vAlign w:val="center"/>
          </w:tcPr>
          <w:p>
            <w:pPr>
              <w:pStyle w:val="TableContents"/>
              <w:bidi w:val="0"/>
              <w:spacing w:before="0" w:after="0"/>
              <w:ind w:left="0" w:right="0" w:hanging="0"/>
              <w:jc w:val="left"/>
              <w:rPr/>
            </w:pPr>
            <w:r>
              <w:rPr/>
              <w:t>​</w:t>
            </w:r>
          </w:p>
        </w:tc>
      </w:tr>
      <w:tr>
        <w:trPr/>
        <w:tc>
          <w:tcPr>
            <w:tcW w:w="214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 ☒</w:t>
            </w:r>
          </w:p>
        </w:tc>
        <w:tc>
          <w:tcPr>
            <w:tcW w:w="258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 ☐</w:t>
            </w:r>
          </w:p>
        </w:tc>
      </w:tr>
      <w:tr>
        <w:trPr/>
        <w:tc>
          <w:tcPr>
            <w:tcW w:w="214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 ☐</w:t>
            </w:r>
          </w:p>
        </w:tc>
        <w:tc>
          <w:tcPr>
            <w:tcW w:w="258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 ☐</w:t>
            </w:r>
          </w:p>
        </w:tc>
      </w:tr>
      <w:tr>
        <w:trPr/>
        <w:tc>
          <w:tcPr>
            <w:tcW w:w="2145" w:type="dxa"/>
            <w:gridSpan w:val="2"/>
            <w:tcBorders/>
            <w:vAlign w:val="center"/>
          </w:tcPr>
          <w:p>
            <w:pPr>
              <w:pStyle w:val="TableContents"/>
              <w:bidi w:val="0"/>
              <w:spacing w:before="0" w:after="0"/>
              <w:ind w:left="0" w:right="0" w:hanging="0"/>
              <w:jc w:val="left"/>
              <w:rPr/>
            </w:pPr>
            <w:r>
              <w:rPr/>
              <w:t>​</w:t>
            </w:r>
          </w:p>
        </w:tc>
        <w:tc>
          <w:tcPr>
            <w:tcW w:w="258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Yes __    No X</w:t>
      </w:r>
    </w:p>
    <w:p>
      <w:pPr>
        <w:pStyle w:val="TextBody"/>
        <w:bidi w:val="0"/>
        <w:spacing w:before="0" w:after="0"/>
        <w:ind w:left="0" w:right="0" w:hanging="0"/>
        <w:jc w:val="center"/>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registrant had 1,047,518,325 shares of common stock, par value $0.005 per share, outstanding as of July 31, 2023.</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1" w:name="_7a1fd96a_4bc5_4201_9718_006c286cb935"/>
      <w:bookmarkEnd w:id="21"/>
      <w:r>
        <w:rPr>
          <w:rFonts w:ascii="Times New Roman;Times;serif" w:hAnsi="Times New Roman;Times;serif"/>
          <w:b/>
          <w:sz w:val="20"/>
        </w:rPr>
        <w:t>MONSTER BEVERAGE CORPORATION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2023</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2" w:name="TOC"/>
      <w:bookmarkEnd w:id="22"/>
      <w:r>
        <w:rPr>
          <w:rFonts w:ascii="Times New Roman;Times;serif" w:hAnsi="Times New Roman;Times;serif"/>
          <w:b/>
          <w:sz w:val="20"/>
        </w:rPr>
        <w:t>INDEX</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40"/>
        <w:gridCol w:w="8311"/>
        <w:gridCol w:w="326"/>
        <w:gridCol w:w="828"/>
      </w:tblGrid>
      <w:tr>
        <w:trPr/>
        <w:tc>
          <w:tcPr>
            <w:tcW w:w="7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69900" cy="175260"/>
                      <wp:effectExtent l="0" t="0" r="0" b="0"/>
                      <wp:wrapNone/>
                      <wp:docPr id="1" name="Frame1"/>
                      <a:graphic xmlns:a="http://schemas.openxmlformats.org/drawingml/2006/main">
                        <a:graphicData uri="http://schemas.microsoft.com/office/word/2010/wordprocessingShape">
                          <wps:wsp>
                            <wps:cNvSpPr txBox="1"/>
                            <wps:spPr>
                              <a:xfrm>
                                <a:off x="0" y="0"/>
                                <a:ext cx="469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5277485" cy="175260"/>
                      <wp:effectExtent l="0" t="0" r="0" b="0"/>
                      <wp:wrapNone/>
                      <wp:docPr id="2" name="Frame2"/>
                      <a:graphic xmlns:a="http://schemas.openxmlformats.org/drawingml/2006/main">
                        <a:graphicData uri="http://schemas.microsoft.com/office/word/2010/wordprocessingShape">
                          <wps:wsp>
                            <wps:cNvSpPr txBox="1"/>
                            <wps:spPr>
                              <a:xfrm>
                                <a:off x="0" y="0"/>
                                <a:ext cx="527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525780" cy="175260"/>
                      <wp:effectExtent l="0" t="0" r="0" b="0"/>
                      <wp:wrapNone/>
                      <wp:docPr id="3" name="Frame3"/>
                      <a:graphic xmlns:a="http://schemas.openxmlformats.org/drawingml/2006/main">
                        <a:graphicData uri="http://schemas.microsoft.com/office/word/2010/wordprocessingShape">
                          <wps:wsp>
                            <wps:cNvSpPr txBox="1"/>
                            <wps:spPr>
                              <a:xfrm>
                                <a:off x="0" y="0"/>
                                <a:ext cx="525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40" w:type="dxa"/>
            <w:tcBorders/>
            <w:vAlign w:val="center"/>
          </w:tcPr>
          <w:p>
            <w:pPr>
              <w:pStyle w:val="TableContents"/>
              <w:pBdr/>
              <w:bidi w:val="0"/>
              <w:spacing w:before="0" w:after="0"/>
              <w:ind w:left="0" w:right="0" w:hanging="0"/>
              <w:jc w:val="left"/>
              <w:rPr/>
            </w:pPr>
            <w:hyperlink w:anchor="PARTIFINANCIALINFORMATION_555950">
              <w:r>
                <w:rPr>
                  <w:rStyle w:val="InternetLink"/>
                  <w:rFonts w:ascii="Times New Roman;Times;serif" w:hAnsi="Times New Roman;Times;serif"/>
                  <w:b/>
                  <w:i w:val="false"/>
                  <w:caps w:val="false"/>
                  <w:smallCaps w:val="false"/>
                  <w:sz w:val="20"/>
                </w:rPr>
                <w:t>Part I.</w:t>
              </w:r>
            </w:hyperlink>
          </w:p>
        </w:tc>
        <w:tc>
          <w:tcPr>
            <w:tcW w:w="8311" w:type="dxa"/>
            <w:tcBorders/>
            <w:vAlign w:val="center"/>
          </w:tcPr>
          <w:p>
            <w:pPr>
              <w:pStyle w:val="TableContents"/>
              <w:bidi w:val="0"/>
              <w:spacing w:before="0" w:after="0"/>
              <w:ind w:left="0" w:right="0" w:hanging="0"/>
              <w:jc w:val="both"/>
              <w:rPr/>
            </w:pPr>
            <w:hyperlink w:anchor="PARTIFINANCIALINFORMATION_555950">
              <w:r>
                <w:rPr>
                  <w:rStyle w:val="InternetLink"/>
                  <w:rFonts w:ascii="Times New Roman;Times;serif" w:hAnsi="Times New Roman;Times;serif"/>
                  <w:b/>
                  <w:i w:val="false"/>
                  <w:caps w:val="false"/>
                  <w:smallCaps w:val="false"/>
                  <w:sz w:val="20"/>
                </w:rPr>
                <w:t>FINANCIAL INFORMATION</w:t>
              </w:r>
            </w:hyperlink>
          </w:p>
        </w:tc>
        <w:tc>
          <w:tcPr>
            <w:tcW w:w="326" w:type="dxa"/>
            <w:tcBorders/>
            <w:vAlign w:val="center"/>
          </w:tcPr>
          <w:p>
            <w:pPr>
              <w:pStyle w:val="TableContents"/>
              <w:bidi w:val="0"/>
              <w:spacing w:before="0" w:after="0"/>
              <w:ind w:left="0" w:right="0" w:hanging="0"/>
              <w:jc w:val="center"/>
              <w:rPr/>
            </w:pPr>
            <w:r>
              <w:rPr/>
              <w:t>    </w:t>
            </w:r>
          </w:p>
        </w:tc>
        <w:tc>
          <w:tcPr>
            <w:tcW w:w="82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 No.</w:t>
            </w:r>
          </w:p>
        </w:tc>
      </w:tr>
      <w:tr>
        <w:trPr/>
        <w:tc>
          <w:tcPr>
            <w:tcW w:w="740" w:type="dxa"/>
            <w:tcBorders/>
            <w:vAlign w:val="center"/>
          </w:tcPr>
          <w:p>
            <w:pPr>
              <w:pStyle w:val="TableContents"/>
              <w:bidi w:val="0"/>
              <w:spacing w:before="0" w:after="0"/>
              <w:ind w:left="0" w:right="0" w:hanging="0"/>
              <w:jc w:val="left"/>
              <w:rPr/>
            </w:pPr>
            <w:r>
              <w:rPr/>
              <w:t>​</w:t>
            </w:r>
          </w:p>
        </w:tc>
        <w:tc>
          <w:tcPr>
            <w:tcW w:w="831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28"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r>
      <w:tr>
        <w:trPr/>
        <w:tc>
          <w:tcPr>
            <w:tcW w:w="740" w:type="dxa"/>
            <w:tcBorders/>
            <w:vAlign w:val="center"/>
          </w:tcPr>
          <w:p>
            <w:pPr>
              <w:pStyle w:val="TableContents"/>
              <w:pBdr/>
              <w:bidi w:val="0"/>
              <w:spacing w:before="0" w:after="0"/>
              <w:ind w:left="0" w:right="0" w:hanging="0"/>
              <w:jc w:val="left"/>
              <w:rPr/>
            </w:pPr>
            <w:hyperlink w:anchor="ITEM1CONDENSEDCONSOLIDATEDFINANCIALSTATE">
              <w:r>
                <w:rPr>
                  <w:rStyle w:val="InternetLink"/>
                  <w:rFonts w:ascii="Times New Roman;Times;serif" w:hAnsi="Times New Roman;Times;serif"/>
                  <w:b w:val="false"/>
                  <w:i w:val="false"/>
                  <w:caps w:val="false"/>
                  <w:smallCaps w:val="false"/>
                  <w:sz w:val="20"/>
                </w:rPr>
                <w:t>Item 1.</w:t>
              </w:r>
            </w:hyperlink>
          </w:p>
        </w:tc>
        <w:tc>
          <w:tcPr>
            <w:tcW w:w="8311" w:type="dxa"/>
            <w:tcBorders/>
            <w:vAlign w:val="center"/>
          </w:tcPr>
          <w:p>
            <w:pPr>
              <w:pStyle w:val="TableContents"/>
              <w:bidi w:val="0"/>
              <w:spacing w:before="0" w:after="0"/>
              <w:ind w:left="0" w:right="0" w:hanging="0"/>
              <w:jc w:val="both"/>
              <w:rPr/>
            </w:pPr>
            <w:hyperlink w:anchor="ITEM1CONDENSEDCONSOLIDATEDFINANCIALSTATE">
              <w:r>
                <w:rPr>
                  <w:rStyle w:val="InternetLink"/>
                  <w:rFonts w:ascii="Times New Roman;Times;serif" w:hAnsi="Times New Roman;Times;serif"/>
                  <w:b w:val="false"/>
                  <w:i w:val="false"/>
                  <w:caps w:val="false"/>
                  <w:smallCaps w:val="false"/>
                  <w:sz w:val="20"/>
                </w:rPr>
                <w:t>Condensed Consolidated Financial Statements (Unaudited)</w:t>
              </w:r>
            </w:hyperlink>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pPr>
            <w:r>
              <w:rPr/>
              <w:t>​</w:t>
            </w:r>
          </w:p>
        </w:tc>
      </w:tr>
      <w:tr>
        <w:trPr/>
        <w:tc>
          <w:tcPr>
            <w:tcW w:w="740" w:type="dxa"/>
            <w:tcBorders/>
            <w:vAlign w:val="center"/>
          </w:tcPr>
          <w:p>
            <w:pPr>
              <w:pStyle w:val="TableContents"/>
              <w:bidi w:val="0"/>
              <w:spacing w:before="0" w:after="0"/>
              <w:ind w:left="0" w:right="0" w:hanging="0"/>
              <w:jc w:val="left"/>
              <w:rPr/>
            </w:pPr>
            <w:r>
              <w:rPr/>
              <w:t>​</w:t>
            </w:r>
          </w:p>
        </w:tc>
        <w:tc>
          <w:tcPr>
            <w:tcW w:w="831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pPr>
            <w:r>
              <w:rPr/>
              <w:t>​</w:t>
            </w:r>
          </w:p>
        </w:tc>
      </w:tr>
      <w:tr>
        <w:trPr/>
        <w:tc>
          <w:tcPr>
            <w:tcW w:w="740" w:type="dxa"/>
            <w:tcBorders/>
            <w:vAlign w:val="center"/>
          </w:tcPr>
          <w:p>
            <w:pPr>
              <w:pStyle w:val="TableContents"/>
              <w:bidi w:val="0"/>
              <w:spacing w:before="0" w:after="0"/>
              <w:ind w:left="0" w:right="0" w:hanging="0"/>
              <w:jc w:val="left"/>
              <w:rPr/>
            </w:pPr>
            <w:r>
              <w:rPr/>
              <w:t>​</w:t>
            </w:r>
          </w:p>
        </w:tc>
        <w:tc>
          <w:tcPr>
            <w:tcW w:w="8311" w:type="dxa"/>
            <w:tcBorders/>
            <w:vAlign w:val="center"/>
          </w:tcPr>
          <w:p>
            <w:pPr>
              <w:pStyle w:val="TableContents"/>
              <w:bidi w:val="0"/>
              <w:spacing w:before="0" w:after="0"/>
              <w:ind w:left="0" w:right="0" w:hanging="0"/>
              <w:jc w:val="both"/>
              <w:rPr/>
            </w:pPr>
            <w:hyperlink w:anchor="CONDENSEDCONSOLIDATEDBALANCESHEETS_69653">
              <w:r>
                <w:rPr>
                  <w:rStyle w:val="InternetLink"/>
                  <w:rFonts w:ascii="Times New Roman;Times;serif" w:hAnsi="Times New Roman;Times;serif"/>
                  <w:b w:val="false"/>
                  <w:i w:val="false"/>
                  <w:caps w:val="false"/>
                  <w:smallCaps w:val="false"/>
                  <w:sz w:val="20"/>
                </w:rPr>
                <w:t>Condensed Consolidated Balance Sheets as of June 30, 2023 and December 31, 2022</w:t>
              </w:r>
            </w:hyperlink>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40" w:type="dxa"/>
            <w:tcBorders/>
            <w:vAlign w:val="center"/>
          </w:tcPr>
          <w:p>
            <w:pPr>
              <w:pStyle w:val="TableContents"/>
              <w:bidi w:val="0"/>
              <w:spacing w:before="0" w:after="0"/>
              <w:ind w:left="0" w:right="0" w:hanging="0"/>
              <w:jc w:val="left"/>
              <w:rPr/>
            </w:pPr>
            <w:r>
              <w:rPr/>
              <w:t>​</w:t>
            </w:r>
          </w:p>
        </w:tc>
        <w:tc>
          <w:tcPr>
            <w:tcW w:w="831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pPr>
            <w:r>
              <w:rPr/>
              <w:t>​</w:t>
            </w:r>
          </w:p>
        </w:tc>
      </w:tr>
      <w:tr>
        <w:trPr/>
        <w:tc>
          <w:tcPr>
            <w:tcW w:w="740" w:type="dxa"/>
            <w:tcBorders/>
            <w:vAlign w:val="center"/>
          </w:tcPr>
          <w:p>
            <w:pPr>
              <w:pStyle w:val="TableContents"/>
              <w:bidi w:val="0"/>
              <w:spacing w:before="0" w:after="0"/>
              <w:ind w:left="0" w:right="0" w:hanging="0"/>
              <w:jc w:val="left"/>
              <w:rPr/>
            </w:pPr>
            <w:r>
              <w:rPr/>
              <w:t>​</w:t>
            </w:r>
          </w:p>
        </w:tc>
        <w:tc>
          <w:tcPr>
            <w:tcW w:w="8311" w:type="dxa"/>
            <w:tcBorders/>
            <w:vAlign w:val="center"/>
          </w:tcPr>
          <w:p>
            <w:pPr>
              <w:pStyle w:val="TableContents"/>
              <w:bidi w:val="0"/>
              <w:spacing w:before="0" w:after="0"/>
              <w:ind w:left="0" w:right="0" w:hanging="0"/>
              <w:jc w:val="both"/>
              <w:rPr/>
            </w:pPr>
            <w:hyperlink w:anchor="STATEMENTSOFINCOME_393941">
              <w:r>
                <w:rPr>
                  <w:rStyle w:val="InternetLink"/>
                  <w:rFonts w:ascii="Times New Roman;Times;serif" w:hAnsi="Times New Roman;Times;serif"/>
                  <w:b w:val="false"/>
                  <w:i w:val="false"/>
                  <w:caps w:val="false"/>
                  <w:smallCaps w:val="false"/>
                  <w:sz w:val="20"/>
                </w:rPr>
                <w:t>Condensed Consolidated Statements of Income for the Three- and Six-months ended June 30, 2023 and 2022</w:t>
              </w:r>
            </w:hyperlink>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40" w:type="dxa"/>
            <w:tcBorders/>
            <w:vAlign w:val="center"/>
          </w:tcPr>
          <w:p>
            <w:pPr>
              <w:pStyle w:val="TableContents"/>
              <w:bidi w:val="0"/>
              <w:spacing w:before="0" w:after="0"/>
              <w:ind w:left="0" w:right="0" w:hanging="0"/>
              <w:jc w:val="left"/>
              <w:rPr/>
            </w:pPr>
            <w:r>
              <w:rPr/>
              <w:t>​</w:t>
            </w:r>
          </w:p>
        </w:tc>
        <w:tc>
          <w:tcPr>
            <w:tcW w:w="831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pPr>
            <w:r>
              <w:rPr/>
              <w:t>​</w:t>
            </w:r>
          </w:p>
        </w:tc>
      </w:tr>
      <w:tr>
        <w:trPr/>
        <w:tc>
          <w:tcPr>
            <w:tcW w:w="740" w:type="dxa"/>
            <w:tcBorders/>
            <w:vAlign w:val="center"/>
          </w:tcPr>
          <w:p>
            <w:pPr>
              <w:pStyle w:val="TableContents"/>
              <w:bidi w:val="0"/>
              <w:spacing w:before="0" w:after="0"/>
              <w:ind w:left="0" w:right="0" w:hanging="0"/>
              <w:jc w:val="left"/>
              <w:rPr/>
            </w:pPr>
            <w:r>
              <w:rPr/>
              <w:t>​</w:t>
            </w:r>
          </w:p>
        </w:tc>
        <w:tc>
          <w:tcPr>
            <w:tcW w:w="8311" w:type="dxa"/>
            <w:tcBorders/>
            <w:vAlign w:val="center"/>
          </w:tcPr>
          <w:p>
            <w:pPr>
              <w:pStyle w:val="TableContents"/>
              <w:bidi w:val="0"/>
              <w:spacing w:before="0" w:after="0"/>
              <w:ind w:left="0" w:right="0" w:hanging="0"/>
              <w:jc w:val="both"/>
              <w:rPr/>
            </w:pPr>
            <w:hyperlink w:anchor="STATEMENTSOFCOMPREHENSIVEINCOME_19420">
              <w:r>
                <w:rPr>
                  <w:rStyle w:val="InternetLink"/>
                  <w:rFonts w:ascii="Times New Roman;Times;serif" w:hAnsi="Times New Roman;Times;serif"/>
                  <w:b w:val="false"/>
                  <w:i w:val="false"/>
                  <w:caps w:val="false"/>
                  <w:smallCaps w:val="false"/>
                  <w:sz w:val="20"/>
                </w:rPr>
                <w:t>Condensed</w:t>
              </w:r>
            </w:hyperlink>
            <w:hyperlink w:anchor="STATEMENTSOFCOMPREHENSIVEINCOME_19420">
              <w:r>
                <w:rPr>
                  <w:rStyle w:val="InternetLink"/>
                  <w:rFonts w:ascii="Times New Roman;Times;serif" w:hAnsi="Times New Roman;Times;serif"/>
                  <w:caps w:val="false"/>
                  <w:smallCaps w:val="false"/>
                  <w:sz w:val="20"/>
                </w:rPr>
                <w:t xml:space="preserve"> </w:t>
              </w:r>
            </w:hyperlink>
            <w:hyperlink w:anchor="STATEMENTSOFCOMPREHENSIVEINCOME_19420">
              <w:r>
                <w:rPr>
                  <w:rStyle w:val="InternetLink"/>
                  <w:rFonts w:ascii="Times New Roman;Times;serif" w:hAnsi="Times New Roman;Times;serif"/>
                  <w:b w:val="false"/>
                  <w:i w:val="false"/>
                  <w:caps w:val="false"/>
                  <w:smallCaps w:val="false"/>
                  <w:sz w:val="20"/>
                </w:rPr>
                <w:t>Consolidated</w:t>
              </w:r>
            </w:hyperlink>
            <w:hyperlink w:anchor="STATEMENTSOFCOMPREHENSIVEINCOME_19420">
              <w:r>
                <w:rPr>
                  <w:rStyle w:val="InternetLink"/>
                  <w:rFonts w:ascii="Times New Roman;Times;serif" w:hAnsi="Times New Roman;Times;serif"/>
                  <w:caps w:val="false"/>
                  <w:smallCaps w:val="false"/>
                  <w:sz w:val="20"/>
                </w:rPr>
                <w:t xml:space="preserve"> </w:t>
              </w:r>
            </w:hyperlink>
            <w:hyperlink w:anchor="STATEMENTSOFCOMPREHENSIVEINCOME_19420">
              <w:r>
                <w:rPr>
                  <w:rStyle w:val="InternetLink"/>
                  <w:rFonts w:ascii="Times New Roman;Times;serif" w:hAnsi="Times New Roman;Times;serif"/>
                  <w:b w:val="false"/>
                  <w:i w:val="false"/>
                  <w:caps w:val="false"/>
                  <w:smallCaps w:val="false"/>
                  <w:sz w:val="20"/>
                </w:rPr>
                <w:t>Statements</w:t>
              </w:r>
            </w:hyperlink>
            <w:hyperlink w:anchor="STATEMENTSOFCOMPREHENSIVEINCOME_19420">
              <w:r>
                <w:rPr>
                  <w:rStyle w:val="InternetLink"/>
                  <w:rFonts w:ascii="Times New Roman;Times;serif" w:hAnsi="Times New Roman;Times;serif"/>
                  <w:caps w:val="false"/>
                  <w:smallCaps w:val="false"/>
                  <w:sz w:val="20"/>
                </w:rPr>
                <w:t xml:space="preserve"> </w:t>
              </w:r>
            </w:hyperlink>
            <w:hyperlink w:anchor="STATEMENTSOFCOMPREHENSIVEINCOME_19420">
              <w:r>
                <w:rPr>
                  <w:rStyle w:val="InternetLink"/>
                  <w:rFonts w:ascii="Times New Roman;Times;serif" w:hAnsi="Times New Roman;Times;serif"/>
                  <w:b w:val="false"/>
                  <w:i w:val="false"/>
                  <w:caps w:val="false"/>
                  <w:smallCaps w:val="false"/>
                  <w:sz w:val="20"/>
                </w:rPr>
                <w:t>of</w:t>
              </w:r>
            </w:hyperlink>
            <w:hyperlink w:anchor="STATEMENTSOFCOMPREHENSIVEINCOME_19420">
              <w:r>
                <w:rPr>
                  <w:rStyle w:val="InternetLink"/>
                  <w:rFonts w:ascii="Times New Roman;Times;serif" w:hAnsi="Times New Roman;Times;serif"/>
                  <w:caps w:val="false"/>
                  <w:smallCaps w:val="false"/>
                  <w:sz w:val="20"/>
                </w:rPr>
                <w:t xml:space="preserve"> </w:t>
              </w:r>
            </w:hyperlink>
            <w:hyperlink w:anchor="STATEMENTSOFCOMPREHENSIVEINCOME_19420">
              <w:r>
                <w:rPr>
                  <w:rStyle w:val="InternetLink"/>
                  <w:rFonts w:ascii="Times New Roman;Times;serif" w:hAnsi="Times New Roman;Times;serif"/>
                  <w:b w:val="false"/>
                  <w:i w:val="false"/>
                  <w:caps w:val="false"/>
                  <w:smallCaps w:val="false"/>
                  <w:sz w:val="20"/>
                </w:rPr>
                <w:t>Comprehensive</w:t>
              </w:r>
            </w:hyperlink>
            <w:hyperlink w:anchor="STATEMENTSOFCOMPREHENSIVEINCOME_19420">
              <w:r>
                <w:rPr>
                  <w:rStyle w:val="InternetLink"/>
                  <w:rFonts w:ascii="Times New Roman;Times;serif" w:hAnsi="Times New Roman;Times;serif"/>
                  <w:caps w:val="false"/>
                  <w:smallCaps w:val="false"/>
                  <w:sz w:val="20"/>
                </w:rPr>
                <w:t xml:space="preserve"> </w:t>
              </w:r>
            </w:hyperlink>
            <w:hyperlink w:anchor="STATEMENTSOFCOMPREHENSIVEINCOME_19420">
              <w:r>
                <w:rPr>
                  <w:rStyle w:val="InternetLink"/>
                  <w:rFonts w:ascii="Times New Roman;Times;serif" w:hAnsi="Times New Roman;Times;serif"/>
                  <w:b w:val="false"/>
                  <w:i w:val="false"/>
                  <w:caps w:val="false"/>
                  <w:smallCaps w:val="false"/>
                  <w:sz w:val="20"/>
                </w:rPr>
                <w:t>Income</w:t>
              </w:r>
            </w:hyperlink>
            <w:hyperlink w:anchor="STATEMENTSOFCOMPREHENSIVEINCOME_19420">
              <w:r>
                <w:rPr>
                  <w:rStyle w:val="InternetLink"/>
                  <w:rFonts w:ascii="Times New Roman;Times;serif" w:hAnsi="Times New Roman;Times;serif"/>
                  <w:caps w:val="false"/>
                  <w:smallCaps w:val="false"/>
                  <w:sz w:val="20"/>
                </w:rPr>
                <w:t xml:space="preserve"> </w:t>
              </w:r>
            </w:hyperlink>
            <w:hyperlink w:anchor="STATEMENTSOFCOMPREHENSIVEINCOME_19420">
              <w:r>
                <w:rPr>
                  <w:rStyle w:val="InternetLink"/>
                  <w:rFonts w:ascii="Times New Roman;Times;serif" w:hAnsi="Times New Roman;Times;serif"/>
                  <w:b w:val="false"/>
                  <w:i w:val="false"/>
                  <w:caps w:val="false"/>
                  <w:smallCaps w:val="false"/>
                  <w:sz w:val="20"/>
                </w:rPr>
                <w:t>for the</w:t>
              </w:r>
            </w:hyperlink>
            <w:hyperlink w:anchor="STATEMENTSOFCOMPREHENSIVEINCOME_19420">
              <w:r>
                <w:rPr>
                  <w:rStyle w:val="InternetLink"/>
                  <w:rFonts w:ascii="Times New Roman;Times;serif" w:hAnsi="Times New Roman;Times;serif"/>
                  <w:caps w:val="false"/>
                  <w:smallCaps w:val="false"/>
                  <w:sz w:val="20"/>
                </w:rPr>
                <w:t xml:space="preserve"> </w:t>
              </w:r>
            </w:hyperlink>
            <w:hyperlink w:anchor="STATEMENTSOFCOMPREHENSIVEINCOME_19420">
              <w:r>
                <w:rPr>
                  <w:rStyle w:val="InternetLink"/>
                  <w:rFonts w:ascii="Times New Roman;Times;serif" w:hAnsi="Times New Roman;Times;serif"/>
                  <w:b w:val="false"/>
                  <w:i w:val="false"/>
                  <w:caps w:val="false"/>
                  <w:smallCaps w:val="false"/>
                  <w:sz w:val="20"/>
                </w:rPr>
                <w:t>Three- and Six-months</w:t>
              </w:r>
            </w:hyperlink>
            <w:hyperlink w:anchor="STATEMENTSOFCOMPREHENSIVEINCOME_19420">
              <w:r>
                <w:rPr>
                  <w:rStyle w:val="InternetLink"/>
                  <w:rFonts w:ascii="Times New Roman;Times;serif" w:hAnsi="Times New Roman;Times;serif"/>
                  <w:caps w:val="false"/>
                  <w:smallCaps w:val="false"/>
                  <w:sz w:val="20"/>
                </w:rPr>
                <w:t xml:space="preserve"> </w:t>
              </w:r>
            </w:hyperlink>
            <w:hyperlink w:anchor="STATEMENTSOFCOMPREHENSIVEINCOME_19420">
              <w:r>
                <w:rPr>
                  <w:rStyle w:val="InternetLink"/>
                  <w:rFonts w:ascii="Times New Roman;Times;serif" w:hAnsi="Times New Roman;Times;serif"/>
                  <w:b w:val="false"/>
                  <w:i w:val="false"/>
                  <w:caps w:val="false"/>
                  <w:smallCaps w:val="false"/>
                  <w:sz w:val="20"/>
                </w:rPr>
                <w:t>ended</w:t>
              </w:r>
            </w:hyperlink>
            <w:hyperlink w:anchor="STATEMENTSOFCOMPREHENSIVEINCOME_19420">
              <w:r>
                <w:rPr>
                  <w:rStyle w:val="InternetLink"/>
                  <w:rFonts w:ascii="Times New Roman;Times;serif" w:hAnsi="Times New Roman;Times;serif"/>
                  <w:caps w:val="false"/>
                  <w:smallCaps w:val="false"/>
                  <w:sz w:val="20"/>
                </w:rPr>
                <w:t xml:space="preserve"> </w:t>
              </w:r>
            </w:hyperlink>
            <w:hyperlink w:anchor="STATEMENTSOFCOMPREHENSIVEINCOME_19420">
              <w:r>
                <w:rPr>
                  <w:rStyle w:val="InternetLink"/>
                  <w:rFonts w:ascii="Times New Roman;Times;serif" w:hAnsi="Times New Roman;Times;serif"/>
                  <w:b w:val="false"/>
                  <w:i w:val="false"/>
                  <w:caps w:val="false"/>
                  <w:smallCaps w:val="false"/>
                  <w:sz w:val="20"/>
                </w:rPr>
                <w:t>June 30, 2023</w:t>
              </w:r>
            </w:hyperlink>
            <w:hyperlink w:anchor="STATEMENTSOFCOMPREHENSIVEINCOME_19420">
              <w:r>
                <w:rPr>
                  <w:rStyle w:val="InternetLink"/>
                  <w:rFonts w:ascii="Times New Roman;Times;serif" w:hAnsi="Times New Roman;Times;serif"/>
                  <w:caps w:val="false"/>
                  <w:smallCaps w:val="false"/>
                  <w:sz w:val="20"/>
                </w:rPr>
                <w:t xml:space="preserve"> </w:t>
              </w:r>
            </w:hyperlink>
            <w:hyperlink w:anchor="STATEMENTSOFCOMPREHENSIVEINCOME_19420">
              <w:r>
                <w:rPr>
                  <w:rStyle w:val="InternetLink"/>
                  <w:rFonts w:ascii="Times New Roman;Times;serif" w:hAnsi="Times New Roman;Times;serif"/>
                  <w:b w:val="false"/>
                  <w:i w:val="false"/>
                  <w:caps w:val="false"/>
                  <w:smallCaps w:val="false"/>
                  <w:sz w:val="20"/>
                </w:rPr>
                <w:t>and</w:t>
              </w:r>
            </w:hyperlink>
            <w:hyperlink w:anchor="STATEMENTSOFCOMPREHENSIVEINCOME_19420">
              <w:r>
                <w:rPr>
                  <w:rStyle w:val="InternetLink"/>
                  <w:rFonts w:ascii="Times New Roman;Times;serif" w:hAnsi="Times New Roman;Times;serif"/>
                  <w:caps w:val="false"/>
                  <w:smallCaps w:val="false"/>
                  <w:sz w:val="20"/>
                </w:rPr>
                <w:t xml:space="preserve"> </w:t>
              </w:r>
            </w:hyperlink>
            <w:hyperlink w:anchor="STATEMENTSOFCOMPREHENSIVEINCOME_19420">
              <w:r>
                <w:rPr>
                  <w:rStyle w:val="InternetLink"/>
                  <w:rFonts w:ascii="Times New Roman;Times;serif" w:hAnsi="Times New Roman;Times;serif"/>
                  <w:b w:val="false"/>
                  <w:i w:val="false"/>
                  <w:caps w:val="false"/>
                  <w:smallCaps w:val="false"/>
                  <w:sz w:val="20"/>
                </w:rPr>
                <w:t>2022</w:t>
              </w:r>
            </w:hyperlink>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740" w:type="dxa"/>
            <w:tcBorders/>
            <w:vAlign w:val="center"/>
          </w:tcPr>
          <w:p>
            <w:pPr>
              <w:pStyle w:val="TableContents"/>
              <w:bidi w:val="0"/>
              <w:spacing w:before="0" w:after="0"/>
              <w:ind w:left="0" w:right="0" w:hanging="0"/>
              <w:jc w:val="left"/>
              <w:rPr/>
            </w:pPr>
            <w:r>
              <w:rPr/>
              <w:t>​</w:t>
            </w:r>
          </w:p>
        </w:tc>
        <w:tc>
          <w:tcPr>
            <w:tcW w:w="831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pPr>
            <w:r>
              <w:rPr/>
              <w:t>​</w:t>
            </w:r>
          </w:p>
        </w:tc>
      </w:tr>
      <w:tr>
        <w:trPr/>
        <w:tc>
          <w:tcPr>
            <w:tcW w:w="740" w:type="dxa"/>
            <w:tcBorders/>
            <w:vAlign w:val="center"/>
          </w:tcPr>
          <w:p>
            <w:pPr>
              <w:pStyle w:val="TableContents"/>
              <w:bidi w:val="0"/>
              <w:spacing w:before="0" w:after="0"/>
              <w:ind w:left="0" w:right="0" w:hanging="0"/>
              <w:jc w:val="left"/>
              <w:rPr/>
            </w:pPr>
            <w:r>
              <w:rPr/>
              <w:t>​</w:t>
            </w:r>
          </w:p>
        </w:tc>
        <w:tc>
          <w:tcPr>
            <w:tcW w:w="8311" w:type="dxa"/>
            <w:tcBorders/>
            <w:vAlign w:val="center"/>
          </w:tcPr>
          <w:p>
            <w:pPr>
              <w:pStyle w:val="TableContents"/>
              <w:bidi w:val="0"/>
              <w:spacing w:before="0" w:after="0"/>
              <w:ind w:left="0" w:right="0" w:hanging="0"/>
              <w:jc w:val="both"/>
              <w:rPr/>
            </w:pPr>
            <w:hyperlink w:anchor="STATEMENTSOFSTOCKHOLDERSEQUITY_603690">
              <w:r>
                <w:rPr>
                  <w:rStyle w:val="InternetLink"/>
                  <w:rFonts w:ascii="Times New Roman;Times;serif" w:hAnsi="Times New Roman;Times;serif"/>
                  <w:b w:val="false"/>
                  <w:i w:val="false"/>
                  <w:caps w:val="false"/>
                  <w:smallCaps w:val="false"/>
                  <w:sz w:val="20"/>
                </w:rPr>
                <w:t>Condensed Consolidated Statements of Stockholders’ Equity for the Three- and Six-months ended June 30, 2023 and 2022</w:t>
              </w:r>
            </w:hyperlink>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740" w:type="dxa"/>
            <w:tcBorders/>
            <w:vAlign w:val="center"/>
          </w:tcPr>
          <w:p>
            <w:pPr>
              <w:pStyle w:val="TableContents"/>
              <w:bidi w:val="0"/>
              <w:spacing w:before="0" w:after="0"/>
              <w:ind w:left="0" w:right="0" w:hanging="0"/>
              <w:jc w:val="left"/>
              <w:rPr/>
            </w:pPr>
            <w:r>
              <w:rPr/>
              <w:t>​</w:t>
            </w:r>
          </w:p>
        </w:tc>
        <w:tc>
          <w:tcPr>
            <w:tcW w:w="831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pPr>
            <w:r>
              <w:rPr/>
              <w:t>​</w:t>
            </w:r>
          </w:p>
        </w:tc>
      </w:tr>
      <w:tr>
        <w:trPr/>
        <w:tc>
          <w:tcPr>
            <w:tcW w:w="740" w:type="dxa"/>
            <w:tcBorders/>
            <w:vAlign w:val="center"/>
          </w:tcPr>
          <w:p>
            <w:pPr>
              <w:pStyle w:val="TableContents"/>
              <w:bidi w:val="0"/>
              <w:spacing w:before="0" w:after="0"/>
              <w:ind w:left="0" w:right="0" w:hanging="0"/>
              <w:jc w:val="left"/>
              <w:rPr/>
            </w:pPr>
            <w:r>
              <w:rPr/>
              <w:t>​</w:t>
            </w:r>
          </w:p>
        </w:tc>
        <w:tc>
          <w:tcPr>
            <w:tcW w:w="8311" w:type="dxa"/>
            <w:tcBorders/>
            <w:vAlign w:val="center"/>
          </w:tcPr>
          <w:p>
            <w:pPr>
              <w:pStyle w:val="TableContents"/>
              <w:bidi w:val="0"/>
              <w:spacing w:before="0" w:after="0"/>
              <w:ind w:left="0" w:right="0" w:hanging="0"/>
              <w:jc w:val="both"/>
              <w:rPr/>
            </w:pPr>
            <w:hyperlink w:anchor="STATEMENTSOFCASHFLOWS_392736">
              <w:r>
                <w:rPr>
                  <w:rStyle w:val="InternetLink"/>
                  <w:rFonts w:ascii="Times New Roman;Times;serif" w:hAnsi="Times New Roman;Times;serif"/>
                  <w:b w:val="false"/>
                  <w:i w:val="false"/>
                  <w:caps w:val="false"/>
                  <w:smallCaps w:val="false"/>
                  <w:sz w:val="20"/>
                </w:rPr>
                <w:t>Condensed Consolidated Statements of Cash Flows for the Six-Months ended June 30, 2023 and 2022</w:t>
              </w:r>
            </w:hyperlink>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740" w:type="dxa"/>
            <w:tcBorders/>
            <w:vAlign w:val="center"/>
          </w:tcPr>
          <w:p>
            <w:pPr>
              <w:pStyle w:val="TableContents"/>
              <w:bidi w:val="0"/>
              <w:spacing w:before="0" w:after="0"/>
              <w:ind w:left="0" w:right="0" w:hanging="0"/>
              <w:jc w:val="left"/>
              <w:rPr/>
            </w:pPr>
            <w:r>
              <w:rPr/>
              <w:t>​</w:t>
            </w:r>
          </w:p>
        </w:tc>
        <w:tc>
          <w:tcPr>
            <w:tcW w:w="831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pPr>
            <w:r>
              <w:rPr/>
              <w:t>​</w:t>
            </w:r>
          </w:p>
        </w:tc>
      </w:tr>
      <w:tr>
        <w:trPr/>
        <w:tc>
          <w:tcPr>
            <w:tcW w:w="740" w:type="dxa"/>
            <w:tcBorders/>
            <w:vAlign w:val="center"/>
          </w:tcPr>
          <w:p>
            <w:pPr>
              <w:pStyle w:val="TableContents"/>
              <w:bidi w:val="0"/>
              <w:spacing w:before="0" w:after="0"/>
              <w:ind w:left="0" w:right="0" w:hanging="0"/>
              <w:jc w:val="left"/>
              <w:rPr/>
            </w:pPr>
            <w:r>
              <w:rPr/>
              <w:t>​</w:t>
            </w:r>
          </w:p>
        </w:tc>
        <w:tc>
          <w:tcPr>
            <w:tcW w:w="8311" w:type="dxa"/>
            <w:tcBorders/>
            <w:vAlign w:val="center"/>
          </w:tcPr>
          <w:p>
            <w:pPr>
              <w:pStyle w:val="TableContents"/>
              <w:bidi w:val="0"/>
              <w:spacing w:before="0" w:after="0"/>
              <w:ind w:left="0" w:right="0" w:hanging="0"/>
              <w:jc w:val="both"/>
              <w:rPr/>
            </w:pPr>
            <w:hyperlink w:anchor="a1BASISOFPRESENTATION_156061">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740" w:type="dxa"/>
            <w:tcBorders/>
            <w:vAlign w:val="center"/>
          </w:tcPr>
          <w:p>
            <w:pPr>
              <w:pStyle w:val="TableContents"/>
              <w:bidi w:val="0"/>
              <w:spacing w:before="0" w:after="0"/>
              <w:ind w:left="0" w:right="0" w:hanging="0"/>
              <w:jc w:val="left"/>
              <w:rPr/>
            </w:pPr>
            <w:r>
              <w:rPr/>
              <w:t>​</w:t>
            </w:r>
          </w:p>
        </w:tc>
        <w:tc>
          <w:tcPr>
            <w:tcW w:w="831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pPr>
            <w:r>
              <w:rPr/>
              <w:t>​</w:t>
            </w:r>
          </w:p>
        </w:tc>
      </w:tr>
      <w:tr>
        <w:trPr/>
        <w:tc>
          <w:tcPr>
            <w:tcW w:w="740" w:type="dxa"/>
            <w:tcBorders/>
            <w:vAlign w:val="center"/>
          </w:tcPr>
          <w:p>
            <w:pPr>
              <w:pStyle w:val="TableContents"/>
              <w:pBdr/>
              <w:bidi w:val="0"/>
              <w:spacing w:before="0" w:after="0"/>
              <w:ind w:left="0" w:right="0" w:hanging="0"/>
              <w:jc w:val="left"/>
              <w:rPr/>
            </w:pPr>
            <w:hyperlink w:anchor="ITEM2MANAGEMENTSDISCUSSIONANDANALYSIS_40">
              <w:r>
                <w:rPr>
                  <w:rStyle w:val="InternetLink"/>
                  <w:rFonts w:ascii="Times New Roman;Times;serif" w:hAnsi="Times New Roman;Times;serif"/>
                  <w:b w:val="false"/>
                  <w:i w:val="false"/>
                  <w:caps w:val="false"/>
                  <w:smallCaps w:val="false"/>
                  <w:sz w:val="20"/>
                </w:rPr>
                <w:t>Item 2.</w:t>
              </w:r>
            </w:hyperlink>
          </w:p>
        </w:tc>
        <w:tc>
          <w:tcPr>
            <w:tcW w:w="8311" w:type="dxa"/>
            <w:tcBorders/>
            <w:vAlign w:val="center"/>
          </w:tcPr>
          <w:p>
            <w:pPr>
              <w:pStyle w:val="TableContents"/>
              <w:bidi w:val="0"/>
              <w:spacing w:before="0" w:after="0"/>
              <w:ind w:left="0" w:right="0" w:hanging="0"/>
              <w:jc w:val="both"/>
              <w:rPr/>
            </w:pPr>
            <w:hyperlink w:anchor="ITEM2MANAGEMENTSDISCUSSIONANDANALYSIS_40">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740" w:type="dxa"/>
            <w:tcBorders/>
            <w:vAlign w:val="center"/>
          </w:tcPr>
          <w:p>
            <w:pPr>
              <w:pStyle w:val="TableContents"/>
              <w:bidi w:val="0"/>
              <w:spacing w:before="0" w:after="0"/>
              <w:ind w:left="0" w:right="0" w:hanging="0"/>
              <w:jc w:val="left"/>
              <w:rPr/>
            </w:pPr>
            <w:r>
              <w:rPr/>
              <w:t>​</w:t>
            </w:r>
          </w:p>
        </w:tc>
        <w:tc>
          <w:tcPr>
            <w:tcW w:w="831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pPr>
            <w:r>
              <w:rPr/>
              <w:t>​</w:t>
            </w:r>
          </w:p>
        </w:tc>
      </w:tr>
      <w:tr>
        <w:trPr/>
        <w:tc>
          <w:tcPr>
            <w:tcW w:w="740" w:type="dxa"/>
            <w:tcBorders/>
            <w:vAlign w:val="center"/>
          </w:tcPr>
          <w:p>
            <w:pPr>
              <w:pStyle w:val="TableContents"/>
              <w:pBdr/>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8311" w:type="dxa"/>
            <w:tcBorders/>
            <w:vAlign w:val="center"/>
          </w:tcPr>
          <w:p>
            <w:pPr>
              <w:pStyle w:val="TableContents"/>
              <w:bidi w:val="0"/>
              <w:spacing w:before="0" w:after="0"/>
              <w:ind w:left="0" w:right="0" w:hanging="0"/>
              <w:jc w:val="both"/>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740" w:type="dxa"/>
            <w:tcBorders/>
            <w:vAlign w:val="center"/>
          </w:tcPr>
          <w:p>
            <w:pPr>
              <w:pStyle w:val="TableContents"/>
              <w:bidi w:val="0"/>
              <w:spacing w:before="0" w:after="0"/>
              <w:ind w:left="0" w:right="0" w:hanging="0"/>
              <w:jc w:val="left"/>
              <w:rPr/>
            </w:pPr>
            <w:r>
              <w:rPr/>
              <w:t>​</w:t>
            </w:r>
          </w:p>
        </w:tc>
        <w:tc>
          <w:tcPr>
            <w:tcW w:w="831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pPr>
            <w:r>
              <w:rPr/>
              <w:t>​</w:t>
            </w:r>
          </w:p>
        </w:tc>
      </w:tr>
      <w:tr>
        <w:trPr/>
        <w:tc>
          <w:tcPr>
            <w:tcW w:w="740" w:type="dxa"/>
            <w:tcBorders/>
            <w:vAlign w:val="center"/>
          </w:tcPr>
          <w:p>
            <w:pPr>
              <w:pStyle w:val="TableContents"/>
              <w:pBdr/>
              <w:bidi w:val="0"/>
              <w:spacing w:before="0" w:after="0"/>
              <w:ind w:left="0" w:right="0" w:hanging="0"/>
              <w:jc w:val="left"/>
              <w:rPr/>
            </w:pPr>
            <w:hyperlink w:anchor="ITEM4CONTROLSANDPROCEDURES_270637">
              <w:r>
                <w:rPr>
                  <w:rStyle w:val="InternetLink"/>
                  <w:rFonts w:ascii="Times New Roman;Times;serif" w:hAnsi="Times New Roman;Times;serif"/>
                  <w:b w:val="false"/>
                  <w:i w:val="false"/>
                  <w:caps w:val="false"/>
                  <w:smallCaps w:val="false"/>
                  <w:sz w:val="20"/>
                </w:rPr>
                <w:t>Item 4.</w:t>
              </w:r>
            </w:hyperlink>
          </w:p>
        </w:tc>
        <w:tc>
          <w:tcPr>
            <w:tcW w:w="8311" w:type="dxa"/>
            <w:tcBorders/>
            <w:vAlign w:val="center"/>
          </w:tcPr>
          <w:p>
            <w:pPr>
              <w:pStyle w:val="TableContents"/>
              <w:bidi w:val="0"/>
              <w:spacing w:before="0" w:after="0"/>
              <w:ind w:left="0" w:right="0" w:hanging="0"/>
              <w:jc w:val="both"/>
              <w:rPr/>
            </w:pPr>
            <w:hyperlink w:anchor="ITEM4CONTROLSANDPROCEDURES_270637">
              <w:r>
                <w:rPr>
                  <w:rStyle w:val="InternetLink"/>
                  <w:rFonts w:ascii="Times New Roman;Times;serif" w:hAnsi="Times New Roman;Times;serif"/>
                  <w:b w:val="false"/>
                  <w:i w:val="false"/>
                  <w:caps w:val="false"/>
                  <w:smallCaps w:val="false"/>
                  <w:sz w:val="20"/>
                </w:rPr>
                <w:t>Controls and Procedures</w:t>
              </w:r>
            </w:hyperlink>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740" w:type="dxa"/>
            <w:tcBorders/>
            <w:vAlign w:val="center"/>
          </w:tcPr>
          <w:p>
            <w:pPr>
              <w:pStyle w:val="TableContents"/>
              <w:bidi w:val="0"/>
              <w:spacing w:before="0" w:after="0"/>
              <w:ind w:left="0" w:right="0" w:hanging="0"/>
              <w:jc w:val="left"/>
              <w:rPr/>
            </w:pPr>
            <w:r>
              <w:rPr/>
              <w:t>​</w:t>
            </w:r>
          </w:p>
        </w:tc>
        <w:tc>
          <w:tcPr>
            <w:tcW w:w="831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pPr>
            <w:r>
              <w:rPr/>
              <w:t>​</w:t>
            </w:r>
          </w:p>
        </w:tc>
      </w:tr>
      <w:tr>
        <w:trPr/>
        <w:tc>
          <w:tcPr>
            <w:tcW w:w="740" w:type="dxa"/>
            <w:tcBorders/>
            <w:vAlign w:val="center"/>
          </w:tcPr>
          <w:p>
            <w:pPr>
              <w:pStyle w:val="TableContents"/>
              <w:pBdr/>
              <w:bidi w:val="0"/>
              <w:spacing w:before="0" w:after="0"/>
              <w:ind w:left="0" w:right="0" w:hanging="0"/>
              <w:jc w:val="left"/>
              <w:rPr/>
            </w:pPr>
            <w:hyperlink w:anchor="PARTIIOTHERINFORMATION_669833">
              <w:r>
                <w:rPr>
                  <w:rStyle w:val="InternetLink"/>
                  <w:rFonts w:ascii="Times New Roman;Times;serif" w:hAnsi="Times New Roman;Times;serif"/>
                  <w:b/>
                  <w:i w:val="false"/>
                  <w:caps w:val="false"/>
                  <w:smallCaps w:val="false"/>
                  <w:sz w:val="20"/>
                </w:rPr>
                <w:t>Part II.</w:t>
              </w:r>
            </w:hyperlink>
          </w:p>
        </w:tc>
        <w:tc>
          <w:tcPr>
            <w:tcW w:w="8311" w:type="dxa"/>
            <w:tcBorders/>
            <w:vAlign w:val="center"/>
          </w:tcPr>
          <w:p>
            <w:pPr>
              <w:pStyle w:val="TableContents"/>
              <w:bidi w:val="0"/>
              <w:spacing w:before="0" w:after="0"/>
              <w:ind w:left="0" w:right="0" w:hanging="0"/>
              <w:jc w:val="both"/>
              <w:rPr/>
            </w:pPr>
            <w:hyperlink w:anchor="PARTIIOTHERINFORMATION_669833">
              <w:r>
                <w:rPr>
                  <w:rStyle w:val="InternetLink"/>
                  <w:rFonts w:ascii="Times New Roman;Times;serif" w:hAnsi="Times New Roman;Times;serif"/>
                  <w:b/>
                  <w:i w:val="false"/>
                  <w:caps w:val="false"/>
                  <w:smallCaps w:val="false"/>
                  <w:sz w:val="20"/>
                </w:rPr>
                <w:t>OTHER INFORMATION</w:t>
              </w:r>
            </w:hyperlink>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pPr>
            <w:r>
              <w:rPr/>
              <w:t>​</w:t>
            </w:r>
          </w:p>
        </w:tc>
      </w:tr>
      <w:tr>
        <w:trPr/>
        <w:tc>
          <w:tcPr>
            <w:tcW w:w="740" w:type="dxa"/>
            <w:tcBorders/>
            <w:vAlign w:val="center"/>
          </w:tcPr>
          <w:p>
            <w:pPr>
              <w:pStyle w:val="TableContents"/>
              <w:bidi w:val="0"/>
              <w:spacing w:before="0" w:after="0"/>
              <w:ind w:left="0" w:right="0" w:hanging="0"/>
              <w:jc w:val="left"/>
              <w:rPr/>
            </w:pPr>
            <w:r>
              <w:rPr/>
              <w:t>​</w:t>
            </w:r>
          </w:p>
        </w:tc>
        <w:tc>
          <w:tcPr>
            <w:tcW w:w="831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pPr>
            <w:r>
              <w:rPr/>
              <w:t>​</w:t>
            </w:r>
          </w:p>
        </w:tc>
      </w:tr>
      <w:tr>
        <w:trPr/>
        <w:tc>
          <w:tcPr>
            <w:tcW w:w="740" w:type="dxa"/>
            <w:tcBorders/>
            <w:vAlign w:val="center"/>
          </w:tcPr>
          <w:p>
            <w:pPr>
              <w:pStyle w:val="TableContents"/>
              <w:pBdr/>
              <w:bidi w:val="0"/>
              <w:spacing w:before="0" w:after="0"/>
              <w:ind w:left="0" w:right="0" w:hanging="0"/>
              <w:jc w:val="left"/>
              <w:rPr/>
            </w:pPr>
            <w:hyperlink w:anchor="ITEM1LEGALPROCEEDINGS_448899">
              <w:r>
                <w:rPr>
                  <w:rStyle w:val="InternetLink"/>
                  <w:rFonts w:ascii="Times New Roman;Times;serif" w:hAnsi="Times New Roman;Times;serif"/>
                  <w:b w:val="false"/>
                  <w:i w:val="false"/>
                  <w:caps w:val="false"/>
                  <w:smallCaps w:val="false"/>
                  <w:sz w:val="20"/>
                </w:rPr>
                <w:t>Item 1.</w:t>
              </w:r>
            </w:hyperlink>
          </w:p>
        </w:tc>
        <w:tc>
          <w:tcPr>
            <w:tcW w:w="8311" w:type="dxa"/>
            <w:tcBorders/>
            <w:vAlign w:val="center"/>
          </w:tcPr>
          <w:p>
            <w:pPr>
              <w:pStyle w:val="TableContents"/>
              <w:bidi w:val="0"/>
              <w:spacing w:before="0" w:after="0"/>
              <w:ind w:left="0" w:right="0" w:hanging="0"/>
              <w:jc w:val="both"/>
              <w:rPr/>
            </w:pPr>
            <w:hyperlink w:anchor="ITEM1LEGALPROCEEDINGS_448899">
              <w:r>
                <w:rPr>
                  <w:rStyle w:val="InternetLink"/>
                  <w:rFonts w:ascii="Times New Roman;Times;serif" w:hAnsi="Times New Roman;Times;serif"/>
                  <w:b w:val="false"/>
                  <w:i w:val="false"/>
                  <w:caps w:val="false"/>
                  <w:smallCaps w:val="false"/>
                  <w:sz w:val="20"/>
                </w:rPr>
                <w:t>Legal Proceedings</w:t>
              </w:r>
            </w:hyperlink>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740" w:type="dxa"/>
            <w:tcBorders/>
            <w:vAlign w:val="center"/>
          </w:tcPr>
          <w:p>
            <w:pPr>
              <w:pStyle w:val="TableContents"/>
              <w:bidi w:val="0"/>
              <w:spacing w:before="0" w:after="0"/>
              <w:ind w:left="0" w:right="0" w:hanging="0"/>
              <w:jc w:val="left"/>
              <w:rPr/>
            </w:pPr>
            <w:r>
              <w:rPr/>
              <w:t>​</w:t>
            </w:r>
          </w:p>
        </w:tc>
        <w:tc>
          <w:tcPr>
            <w:tcW w:w="831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pPr>
            <w:r>
              <w:rPr/>
              <w:t>​</w:t>
            </w:r>
          </w:p>
        </w:tc>
      </w:tr>
      <w:tr>
        <w:trPr/>
        <w:tc>
          <w:tcPr>
            <w:tcW w:w="740" w:type="dxa"/>
            <w:tcBorders/>
            <w:vAlign w:val="center"/>
          </w:tcPr>
          <w:p>
            <w:pPr>
              <w:pStyle w:val="TableContents"/>
              <w:pBdr/>
              <w:bidi w:val="0"/>
              <w:spacing w:before="0" w:after="0"/>
              <w:ind w:left="0" w:right="0" w:hanging="0"/>
              <w:jc w:val="left"/>
              <w:rPr/>
            </w:pPr>
            <w:hyperlink w:anchor="ITEM1ARISKFACTORS_609704">
              <w:r>
                <w:rPr>
                  <w:rStyle w:val="InternetLink"/>
                  <w:rFonts w:ascii="Times New Roman;Times;serif" w:hAnsi="Times New Roman;Times;serif"/>
                  <w:b w:val="false"/>
                  <w:i w:val="false"/>
                  <w:caps w:val="false"/>
                  <w:smallCaps w:val="false"/>
                  <w:sz w:val="20"/>
                </w:rPr>
                <w:t>Item 1A.</w:t>
              </w:r>
            </w:hyperlink>
          </w:p>
        </w:tc>
        <w:tc>
          <w:tcPr>
            <w:tcW w:w="8311" w:type="dxa"/>
            <w:tcBorders/>
            <w:vAlign w:val="center"/>
          </w:tcPr>
          <w:p>
            <w:pPr>
              <w:pStyle w:val="TableContents"/>
              <w:bidi w:val="0"/>
              <w:spacing w:before="0" w:after="0"/>
              <w:ind w:left="0" w:right="0" w:hanging="0"/>
              <w:jc w:val="both"/>
              <w:rPr/>
            </w:pPr>
            <w:hyperlink w:anchor="ITEM1ARISKFACTORS_609704">
              <w:r>
                <w:rPr>
                  <w:rStyle w:val="InternetLink"/>
                  <w:rFonts w:ascii="Times New Roman;Times;serif" w:hAnsi="Times New Roman;Times;serif"/>
                  <w:b w:val="false"/>
                  <w:i w:val="false"/>
                  <w:caps w:val="false"/>
                  <w:smallCaps w:val="false"/>
                  <w:sz w:val="20"/>
                </w:rPr>
                <w:t>Risk Factors</w:t>
              </w:r>
            </w:hyperlink>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740" w:type="dxa"/>
            <w:tcBorders/>
            <w:vAlign w:val="center"/>
          </w:tcPr>
          <w:p>
            <w:pPr>
              <w:pStyle w:val="TableContents"/>
              <w:bidi w:val="0"/>
              <w:spacing w:before="0" w:after="0"/>
              <w:ind w:left="0" w:right="0" w:hanging="0"/>
              <w:jc w:val="left"/>
              <w:rPr/>
            </w:pPr>
            <w:r>
              <w:rPr/>
              <w:t>​</w:t>
            </w:r>
          </w:p>
        </w:tc>
        <w:tc>
          <w:tcPr>
            <w:tcW w:w="831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pPr>
            <w:r>
              <w:rPr/>
              <w:t>​</w:t>
            </w:r>
          </w:p>
        </w:tc>
      </w:tr>
      <w:tr>
        <w:trPr/>
        <w:tc>
          <w:tcPr>
            <w:tcW w:w="740" w:type="dxa"/>
            <w:tcBorders/>
            <w:vAlign w:val="center"/>
          </w:tcPr>
          <w:p>
            <w:pPr>
              <w:pStyle w:val="TableContents"/>
              <w:pBdr/>
              <w:bidi w:val="0"/>
              <w:spacing w:before="0" w:after="0"/>
              <w:ind w:left="0" w:right="0" w:hanging="0"/>
              <w:jc w:val="left"/>
              <w:rPr/>
            </w:pPr>
            <w:hyperlink w:anchor="ITEM2UNREGISTEREDSALESOFEQUITY_417570">
              <w:r>
                <w:rPr>
                  <w:rStyle w:val="InternetLink"/>
                  <w:rFonts w:ascii="Times New Roman;Times;serif" w:hAnsi="Times New Roman;Times;serif"/>
                  <w:b w:val="false"/>
                  <w:i w:val="false"/>
                  <w:caps w:val="false"/>
                  <w:smallCaps w:val="false"/>
                  <w:sz w:val="20"/>
                </w:rPr>
                <w:t>Item 2.</w:t>
              </w:r>
            </w:hyperlink>
          </w:p>
        </w:tc>
        <w:tc>
          <w:tcPr>
            <w:tcW w:w="8311" w:type="dxa"/>
            <w:tcBorders/>
            <w:vAlign w:val="center"/>
          </w:tcPr>
          <w:p>
            <w:pPr>
              <w:pStyle w:val="TableContents"/>
              <w:bidi w:val="0"/>
              <w:spacing w:before="0" w:after="0"/>
              <w:ind w:left="0" w:right="0" w:hanging="0"/>
              <w:jc w:val="both"/>
              <w:rPr/>
            </w:pPr>
            <w:hyperlink w:anchor="ITEM2UNREGISTEREDSALESOFEQUITY_417570">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740" w:type="dxa"/>
            <w:tcBorders/>
            <w:vAlign w:val="center"/>
          </w:tcPr>
          <w:p>
            <w:pPr>
              <w:pStyle w:val="TableContents"/>
              <w:bidi w:val="0"/>
              <w:spacing w:before="0" w:after="0"/>
              <w:ind w:left="0" w:right="0" w:hanging="0"/>
              <w:jc w:val="left"/>
              <w:rPr/>
            </w:pPr>
            <w:r>
              <w:rPr/>
              <w:t>​</w:t>
            </w:r>
          </w:p>
        </w:tc>
        <w:tc>
          <w:tcPr>
            <w:tcW w:w="831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pPr>
            <w:r>
              <w:rPr/>
              <w:t>​</w:t>
            </w:r>
          </w:p>
        </w:tc>
      </w:tr>
      <w:tr>
        <w:trPr/>
        <w:tc>
          <w:tcPr>
            <w:tcW w:w="740" w:type="dxa"/>
            <w:tcBorders/>
            <w:vAlign w:val="center"/>
          </w:tcPr>
          <w:p>
            <w:pPr>
              <w:pStyle w:val="TableContents"/>
              <w:pBdr/>
              <w:bidi w:val="0"/>
              <w:spacing w:before="0" w:after="0"/>
              <w:ind w:left="0" w:right="0" w:hanging="0"/>
              <w:jc w:val="left"/>
              <w:rPr/>
            </w:pPr>
            <w:hyperlink w:anchor="ITEM3DEFAULTSUPONSENIORSECURITIES_753663">
              <w:r>
                <w:rPr>
                  <w:rStyle w:val="InternetLink"/>
                  <w:rFonts w:ascii="Times New Roman;Times;serif" w:hAnsi="Times New Roman;Times;serif"/>
                  <w:b w:val="false"/>
                  <w:i w:val="false"/>
                  <w:caps w:val="false"/>
                  <w:smallCaps w:val="false"/>
                  <w:sz w:val="20"/>
                </w:rPr>
                <w:t>Item 3.</w:t>
              </w:r>
            </w:hyperlink>
          </w:p>
        </w:tc>
        <w:tc>
          <w:tcPr>
            <w:tcW w:w="8311" w:type="dxa"/>
            <w:tcBorders/>
            <w:vAlign w:val="center"/>
          </w:tcPr>
          <w:p>
            <w:pPr>
              <w:pStyle w:val="TableContents"/>
              <w:bidi w:val="0"/>
              <w:spacing w:before="0" w:after="0"/>
              <w:ind w:left="0" w:right="0" w:hanging="0"/>
              <w:jc w:val="both"/>
              <w:rPr/>
            </w:pPr>
            <w:hyperlink w:anchor="ITEM3DEFAULTSUPONSENIORSECURITIES_753663">
              <w:r>
                <w:rPr>
                  <w:rStyle w:val="InternetLink"/>
                  <w:rFonts w:ascii="Times New Roman;Times;serif" w:hAnsi="Times New Roman;Times;serif"/>
                  <w:b w:val="false"/>
                  <w:i w:val="false"/>
                  <w:caps w:val="false"/>
                  <w:smallCaps w:val="false"/>
                  <w:sz w:val="20"/>
                </w:rPr>
                <w:t>Defaults Upon Senior Securities</w:t>
              </w:r>
            </w:hyperlink>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740" w:type="dxa"/>
            <w:tcBorders/>
            <w:vAlign w:val="center"/>
          </w:tcPr>
          <w:p>
            <w:pPr>
              <w:pStyle w:val="TableContents"/>
              <w:bidi w:val="0"/>
              <w:spacing w:before="0" w:after="0"/>
              <w:ind w:left="0" w:right="0" w:hanging="0"/>
              <w:jc w:val="left"/>
              <w:rPr/>
            </w:pPr>
            <w:r>
              <w:rPr/>
              <w:t>​</w:t>
            </w:r>
          </w:p>
        </w:tc>
        <w:tc>
          <w:tcPr>
            <w:tcW w:w="831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pPr>
            <w:r>
              <w:rPr/>
              <w:t>​</w:t>
            </w:r>
          </w:p>
        </w:tc>
      </w:tr>
      <w:tr>
        <w:trPr/>
        <w:tc>
          <w:tcPr>
            <w:tcW w:w="740" w:type="dxa"/>
            <w:tcBorders/>
            <w:vAlign w:val="center"/>
          </w:tcPr>
          <w:p>
            <w:pPr>
              <w:pStyle w:val="TableContents"/>
              <w:pBdr/>
              <w:bidi w:val="0"/>
              <w:spacing w:before="0" w:after="0"/>
              <w:ind w:left="0" w:right="0" w:hanging="0"/>
              <w:jc w:val="left"/>
              <w:rPr/>
            </w:pPr>
            <w:hyperlink w:anchor="ITEM4MINESAFETYDISCLOSURES_417702">
              <w:r>
                <w:rPr>
                  <w:rStyle w:val="InternetLink"/>
                  <w:rFonts w:ascii="Times New Roman;Times;serif" w:hAnsi="Times New Roman;Times;serif"/>
                  <w:b w:val="false"/>
                  <w:i w:val="false"/>
                  <w:caps w:val="false"/>
                  <w:smallCaps w:val="false"/>
                  <w:sz w:val="20"/>
                </w:rPr>
                <w:t>Item 4.</w:t>
              </w:r>
            </w:hyperlink>
          </w:p>
        </w:tc>
        <w:tc>
          <w:tcPr>
            <w:tcW w:w="8311" w:type="dxa"/>
            <w:tcBorders/>
            <w:vAlign w:val="center"/>
          </w:tcPr>
          <w:p>
            <w:pPr>
              <w:pStyle w:val="TableContents"/>
              <w:bidi w:val="0"/>
              <w:spacing w:before="0" w:after="0"/>
              <w:ind w:left="0" w:right="0" w:hanging="0"/>
              <w:jc w:val="both"/>
              <w:rPr/>
            </w:pPr>
            <w:hyperlink w:anchor="ITEM4MINESAFETYDISCLOSURES_417702">
              <w:r>
                <w:rPr>
                  <w:rStyle w:val="InternetLink"/>
                  <w:rFonts w:ascii="Times New Roman;Times;serif" w:hAnsi="Times New Roman;Times;serif"/>
                  <w:b w:val="false"/>
                  <w:i w:val="false"/>
                  <w:caps w:val="false"/>
                  <w:smallCaps w:val="false"/>
                  <w:sz w:val="20"/>
                </w:rPr>
                <w:t>Mine Safety Disclosures</w:t>
              </w:r>
            </w:hyperlink>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740" w:type="dxa"/>
            <w:tcBorders/>
            <w:vAlign w:val="center"/>
          </w:tcPr>
          <w:p>
            <w:pPr>
              <w:pStyle w:val="TableContents"/>
              <w:bidi w:val="0"/>
              <w:spacing w:before="0" w:after="0"/>
              <w:ind w:left="0" w:right="0" w:hanging="0"/>
              <w:jc w:val="left"/>
              <w:rPr/>
            </w:pPr>
            <w:r>
              <w:rPr/>
              <w:t>​</w:t>
            </w:r>
          </w:p>
        </w:tc>
        <w:tc>
          <w:tcPr>
            <w:tcW w:w="831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pPr>
            <w:r>
              <w:rPr/>
              <w:t>​</w:t>
            </w:r>
          </w:p>
        </w:tc>
      </w:tr>
      <w:tr>
        <w:trPr/>
        <w:tc>
          <w:tcPr>
            <w:tcW w:w="740" w:type="dxa"/>
            <w:tcBorders/>
            <w:vAlign w:val="center"/>
          </w:tcPr>
          <w:p>
            <w:pPr>
              <w:pStyle w:val="TableContents"/>
              <w:pBdr/>
              <w:bidi w:val="0"/>
              <w:spacing w:before="0" w:after="0"/>
              <w:ind w:left="0" w:right="0" w:hanging="0"/>
              <w:jc w:val="left"/>
              <w:rPr/>
            </w:pPr>
            <w:hyperlink w:anchor="ITEM5OTHERINFORMATION_353440">
              <w:r>
                <w:rPr>
                  <w:rStyle w:val="InternetLink"/>
                  <w:rFonts w:ascii="Times New Roman;Times;serif" w:hAnsi="Times New Roman;Times;serif"/>
                  <w:b w:val="false"/>
                  <w:i w:val="false"/>
                  <w:caps w:val="false"/>
                  <w:smallCaps w:val="false"/>
                  <w:sz w:val="20"/>
                </w:rPr>
                <w:t>Item 5.</w:t>
              </w:r>
            </w:hyperlink>
          </w:p>
        </w:tc>
        <w:tc>
          <w:tcPr>
            <w:tcW w:w="8311" w:type="dxa"/>
            <w:tcBorders/>
            <w:vAlign w:val="center"/>
          </w:tcPr>
          <w:p>
            <w:pPr>
              <w:pStyle w:val="TableContents"/>
              <w:bidi w:val="0"/>
              <w:spacing w:before="0" w:after="0"/>
              <w:ind w:left="0" w:right="0" w:hanging="0"/>
              <w:jc w:val="both"/>
              <w:rPr/>
            </w:pPr>
            <w:hyperlink w:anchor="ITEM5OTHERINFORMATION_353440">
              <w:r>
                <w:rPr>
                  <w:rStyle w:val="InternetLink"/>
                  <w:rFonts w:ascii="Times New Roman;Times;serif" w:hAnsi="Times New Roman;Times;serif"/>
                  <w:b w:val="false"/>
                  <w:i w:val="false"/>
                  <w:caps w:val="false"/>
                  <w:smallCaps w:val="false"/>
                  <w:sz w:val="20"/>
                </w:rPr>
                <w:t>Other Information</w:t>
              </w:r>
            </w:hyperlink>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740" w:type="dxa"/>
            <w:tcBorders/>
            <w:vAlign w:val="center"/>
          </w:tcPr>
          <w:p>
            <w:pPr>
              <w:pStyle w:val="TableContents"/>
              <w:bidi w:val="0"/>
              <w:spacing w:before="0" w:after="0"/>
              <w:ind w:left="0" w:right="0" w:hanging="0"/>
              <w:jc w:val="left"/>
              <w:rPr/>
            </w:pPr>
            <w:r>
              <w:rPr/>
              <w:t>​</w:t>
            </w:r>
          </w:p>
        </w:tc>
        <w:tc>
          <w:tcPr>
            <w:tcW w:w="831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pPr>
            <w:r>
              <w:rPr/>
              <w:t>​</w:t>
            </w:r>
          </w:p>
        </w:tc>
      </w:tr>
      <w:tr>
        <w:trPr/>
        <w:tc>
          <w:tcPr>
            <w:tcW w:w="740" w:type="dxa"/>
            <w:tcBorders/>
            <w:vAlign w:val="center"/>
          </w:tcPr>
          <w:p>
            <w:pPr>
              <w:pStyle w:val="TableContents"/>
              <w:pBdr/>
              <w:bidi w:val="0"/>
              <w:spacing w:before="0" w:after="0"/>
              <w:ind w:left="0" w:right="0" w:hanging="0"/>
              <w:jc w:val="left"/>
              <w:rPr/>
            </w:pPr>
            <w:hyperlink w:anchor="ITEM6EXHIBITS_20622">
              <w:r>
                <w:rPr>
                  <w:rStyle w:val="InternetLink"/>
                  <w:rFonts w:ascii="Times New Roman;Times;serif" w:hAnsi="Times New Roman;Times;serif"/>
                  <w:b w:val="false"/>
                  <w:i w:val="false"/>
                  <w:caps w:val="false"/>
                  <w:smallCaps w:val="false"/>
                  <w:sz w:val="20"/>
                </w:rPr>
                <w:t>Item 6.</w:t>
              </w:r>
            </w:hyperlink>
          </w:p>
        </w:tc>
        <w:tc>
          <w:tcPr>
            <w:tcW w:w="8311" w:type="dxa"/>
            <w:tcBorders/>
            <w:vAlign w:val="center"/>
          </w:tcPr>
          <w:p>
            <w:pPr>
              <w:pStyle w:val="TableContents"/>
              <w:bidi w:val="0"/>
              <w:spacing w:before="0" w:after="0"/>
              <w:ind w:left="0" w:right="0" w:hanging="0"/>
              <w:jc w:val="both"/>
              <w:rPr/>
            </w:pPr>
            <w:hyperlink w:anchor="ITEM6EXHIBITS_20622">
              <w:r>
                <w:rPr>
                  <w:rStyle w:val="InternetLink"/>
                  <w:rFonts w:ascii="Times New Roman;Times;serif" w:hAnsi="Times New Roman;Times;serif"/>
                  <w:b w:val="false"/>
                  <w:i w:val="false"/>
                  <w:caps w:val="false"/>
                  <w:smallCaps w:val="false"/>
                  <w:sz w:val="20"/>
                </w:rPr>
                <w:t>Exhibits</w:t>
              </w:r>
            </w:hyperlink>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740" w:type="dxa"/>
            <w:tcBorders/>
            <w:vAlign w:val="center"/>
          </w:tcPr>
          <w:p>
            <w:pPr>
              <w:pStyle w:val="TableContents"/>
              <w:bidi w:val="0"/>
              <w:spacing w:before="0" w:after="0"/>
              <w:ind w:left="0" w:right="0" w:hanging="0"/>
              <w:jc w:val="left"/>
              <w:rPr/>
            </w:pPr>
            <w:r>
              <w:rPr/>
              <w:t>​</w:t>
            </w:r>
          </w:p>
        </w:tc>
        <w:tc>
          <w:tcPr>
            <w:tcW w:w="831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pPr>
            <w:r>
              <w:rPr/>
              <w:t>​</w:t>
            </w:r>
          </w:p>
        </w:tc>
      </w:tr>
      <w:tr>
        <w:trPr/>
        <w:tc>
          <w:tcPr>
            <w:tcW w:w="740" w:type="dxa"/>
            <w:tcBorders/>
            <w:vAlign w:val="center"/>
          </w:tcPr>
          <w:p>
            <w:pPr>
              <w:pStyle w:val="TableContents"/>
              <w:bidi w:val="0"/>
              <w:spacing w:before="0" w:after="0"/>
              <w:ind w:left="0" w:right="0" w:hanging="0"/>
              <w:jc w:val="left"/>
              <w:rPr/>
            </w:pPr>
            <w:r>
              <w:rPr/>
              <w:t>​</w:t>
            </w:r>
          </w:p>
        </w:tc>
        <w:tc>
          <w:tcPr>
            <w:tcW w:w="8311" w:type="dxa"/>
            <w:tcBorders/>
            <w:vAlign w:val="center"/>
          </w:tcPr>
          <w:p>
            <w:pPr>
              <w:pStyle w:val="TableContents"/>
              <w:bidi w:val="0"/>
              <w:spacing w:before="0" w:after="0"/>
              <w:ind w:left="0" w:right="0" w:hanging="0"/>
              <w:jc w:val="both"/>
              <w:rPr/>
            </w:pPr>
            <w:hyperlink w:anchor="SIGNATURES_652864">
              <w:r>
                <w:rPr>
                  <w:rStyle w:val="InternetLink"/>
                  <w:rFonts w:ascii="Times New Roman;Times;serif" w:hAnsi="Times New Roman;Times;serif"/>
                  <w:b w:val="false"/>
                  <w:i w:val="false"/>
                  <w:caps w:val="false"/>
                  <w:smallCaps w:val="false"/>
                  <w:sz w:val="20"/>
                </w:rPr>
                <w:t>Signatures</w:t>
              </w:r>
            </w:hyperlink>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23" w:name="PARTIFINANCIALINFORMATION_555950"/>
      <w:bookmarkStart w:id="24" w:name="_47f10993_48a5_4c45_986b_79132c391872"/>
      <w:bookmarkEnd w:id="23"/>
      <w:bookmarkEnd w:id="24"/>
      <w:r>
        <w:rPr>
          <w:rFonts w:ascii="Times New Roman;Times;serif" w:hAnsi="Times New Roman;Times;serif"/>
          <w:b/>
          <w:sz w:val="20"/>
        </w:rPr>
        <w:t>PART I – FINANCIAL INFORMATION</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bookmarkStart w:id="25" w:name="ITEM1CONDENSEDCONSOLIDATEDFINANCIALSTATE"/>
      <w:bookmarkEnd w:id="25"/>
      <w:r>
        <w:rPr>
          <w:rFonts w:ascii="Times New Roman;Times;serif" w:hAnsi="Times New Roman;Times;serif"/>
          <w:b/>
          <w:sz w:val="20"/>
        </w:rPr>
        <w:t>ITEM 1. CONDENSED CONSOLIDATED FINANCIAL STATEMENTS (UNAUDITED)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MONSTER BEVERAGE CORPORATION AND SUBSIDIARIES</w:t>
      </w:r>
      <w:r>
        <w:rPr>
          <w:rFonts w:ascii="Times New Roman;Times;serif" w:hAnsi="Times New Roman;Times;serif"/>
          <w:sz w:val="20"/>
        </w:rPr>
        <w:t xml:space="preserve"> </w:t>
      </w:r>
    </w:p>
    <w:p>
      <w:pPr>
        <w:pStyle w:val="TextBody"/>
        <w:bidi w:val="0"/>
        <w:spacing w:before="0" w:after="0"/>
        <w:ind w:left="0" w:right="0" w:hanging="0"/>
        <w:jc w:val="left"/>
        <w:rPr>
          <w:rFonts w:ascii="Times New Roman;Times;serif" w:hAnsi="Times New Roman;Times;serif"/>
          <w:b/>
          <w:sz w:val="20"/>
        </w:rPr>
      </w:pPr>
      <w:bookmarkStart w:id="26" w:name="CONDENSEDCONSOLIDATEDBALANCESHEETS_69653"/>
      <w:bookmarkEnd w:id="26"/>
      <w:r>
        <w:rPr>
          <w:rFonts w:ascii="Times New Roman;Times;serif" w:hAnsi="Times New Roman;Times;serif"/>
          <w:b/>
          <w:sz w:val="20"/>
        </w:rPr>
        <w:t>CONDENSED CONSOLIDATED BALANCE SHEETS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 OF JUNE 30, 2023 AND DECEMBER 31, 2022</w:t>
      </w:r>
    </w:p>
    <w:p>
      <w:pPr>
        <w:pStyle w:val="TextBody"/>
        <w:pBdr>
          <w:bottom w:val="single" w:sz="12" w:space="1" w:color="000000"/>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(In Thousands, Except Par Value) (Unaudited) </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7" w:name="Tc_NfwQ3pwB102MxEK9jCxv0A_44_5"/>
      <w:bookmarkStart w:id="28" w:name="Tc_j95g_HgpFEKOQLeE0wu3Ew_44_2"/>
      <w:bookmarkStart w:id="29" w:name="Tc_YCxSUPoFwUSjk_HhMI-Fvw_44_0"/>
      <w:bookmarkStart w:id="30" w:name="Tc_E2OiPDJq9UC4jquXniC9lg_43_0"/>
      <w:bookmarkStart w:id="31" w:name="Tc_HEAavR-V7kisZLh3joUErw_42_0"/>
      <w:bookmarkStart w:id="32" w:name="Tc_7A-Nm9qGBE6C9vQuX8VTuA_41_0"/>
      <w:bookmarkStart w:id="33" w:name="Tc_bYt-fjyWCEe05_wQh1102A_40_0"/>
      <w:bookmarkStart w:id="34" w:name="Tc_x6nZAfEArkCWUuRtYePmTw_39_0"/>
      <w:bookmarkStart w:id="35" w:name="Tc_AapGAL3laUuCq-NkS0WY3g_38_0"/>
      <w:bookmarkStart w:id="36" w:name="Tc_LZGnolIyI0a9MFEifLM8-Q_37_0"/>
      <w:bookmarkStart w:id="37" w:name="Tc_E41mM1OiI0KIzdAr0CHoRw_35_0"/>
      <w:bookmarkStart w:id="38" w:name="Tc_2mpCE6kuzEaFG4W8aQHsDw_33_0"/>
      <w:bookmarkStart w:id="39" w:name="Tc_t1DHJhOxBUaFn4AkuEZChA_31_0"/>
      <w:bookmarkStart w:id="40" w:name="Tc_j4di3yND3EeNbJighsM6uQ_29_0"/>
      <w:bookmarkStart w:id="41" w:name="Tc_m9FYGzIxIUOklt6r5DVJsw_28_0"/>
      <w:bookmarkStart w:id="42" w:name="Tc_wUVodYZpNEWGgSX9D8Y4Qw_27_0"/>
      <w:bookmarkStart w:id="43" w:name="Tc_Po5b5XwOeUyrhsXHmAzNmg_26_0"/>
      <w:bookmarkStart w:id="44" w:name="Tc_Vyjlmw0P5ESYTLTpwjVQ9Q_25_0"/>
      <w:bookmarkStart w:id="45" w:name="Tc_aGTfEw9G7kiYd9RVvq0Smg_24_0"/>
      <w:bookmarkStart w:id="46" w:name="Tc_2w9xVk-9q0qwv6PvFkvIyQ_23_5"/>
      <w:bookmarkStart w:id="47" w:name="Tc_UEJPApHub0240Cwy-sk8IA_23_2"/>
      <w:bookmarkStart w:id="48" w:name="Tc_8LdJkWANhka0E6Ui46CkXw_23_0"/>
      <w:bookmarkStart w:id="49" w:name="Tc_c4HAENgtH0uYqlWUOq4R0Q_22_0"/>
      <w:bookmarkStart w:id="50" w:name="Tc_HZc1_3gsB0yxPhl3jqCi0g_21_0"/>
      <w:bookmarkStart w:id="51" w:name="Tc_hN085qCCPUywWz21XUpj9Q_19_5"/>
      <w:bookmarkStart w:id="52" w:name="Tc_EBe-pz_nEEeHzEmjJDSKsw_19_2"/>
      <w:bookmarkStart w:id="53" w:name="Tc_NiD1AmZyfEWo4PzWKQaI1A_19_0"/>
      <w:bookmarkStart w:id="54" w:name="Tc_GODvyzIRykCmO0rCFops8Q_18_0"/>
      <w:bookmarkStart w:id="55" w:name="Tc_Zg2L3XEOfkCZJW1IadLxWw_17_0"/>
      <w:bookmarkStart w:id="56" w:name="Tc_DEtgISWvd062iVIQvUG5NQ_16_0"/>
      <w:bookmarkStart w:id="57" w:name="Tc_Z-9Ff22wpE2mDU6o6SYohw_15_0"/>
      <w:bookmarkStart w:id="58" w:name="Tc_mQo9n-rkfk-63JoKfwlYRQ_14_0"/>
      <w:bookmarkStart w:id="59" w:name="Tc_js4clYza9UK8x7CgPxDnKw_13_0"/>
      <w:bookmarkStart w:id="60" w:name="Tc_4ulZlxOEI0G0F8tIvX9Ihw_11_0"/>
      <w:bookmarkStart w:id="61" w:name="Tc_Hq9MpmEwsECkkKUpjFvDPA_10_0"/>
      <w:bookmarkStart w:id="62" w:name="Tc_C0wzIE2Hr0OasbQv8n_G-A_9_0"/>
      <w:bookmarkStart w:id="63" w:name="Tc_iUbIFNxlhkiesekBy3Auww_8_0"/>
      <w:bookmarkStart w:id="64" w:name="Tc_RIiDrpFBQE2_f2H7-zJ0FQ_7_0"/>
      <w:bookmarkStart w:id="65" w:name="Tc_BOFqtMyE8ESyoSzTOD67UA_6_0"/>
      <w:bookmarkStart w:id="66" w:name="Tc_3SC82pVQHUWXxX5NlIU22A_5_5"/>
      <w:bookmarkStart w:id="67" w:name="Tc_VWN4DUo5EEuMNt-1foUIYg_5_2"/>
      <w:bookmarkStart w:id="68" w:name="Tc_o8x5rS7wsUmeQ_hPpbl1ng_5_0"/>
      <w:bookmarkStart w:id="69" w:name="Tc_OBtaUDuZLUyXDnw8zJhuig_4_0"/>
      <w:bookmarkStart w:id="70" w:name="Tc_AJjbYxdzC02lF6Ipx4WIpA_3_0"/>
      <w:bookmarkStart w:id="71" w:name="Tc_-deURTiv2U2dgHH9JUlxfA_2_5"/>
      <w:bookmarkStart w:id="72" w:name="Tc_cVSq29nk-0iaTx9uBKM_yg_2_2"/>
      <w:bookmarkStart w:id="73" w:name="Tc_mgmIr8GFnkKZdFYAygiL-w_1_5"/>
      <w:bookmarkStart w:id="74" w:name="Tc_Qh-B3VabpUCo58WFl6ShCg_1_2"/>
      <w:bookmarkStart w:id="75" w:name="_aa78ee75_a14b_4317_a4f4_2660b50578dd"/>
      <w:bookmarkStart w:id="76" w:name="Tc_NfwQ3pwB102MxEK9jCxv0A_44_5"/>
      <w:bookmarkStart w:id="77" w:name="Tc_j95g_HgpFEKOQLeE0wu3Ew_44_2"/>
      <w:bookmarkStart w:id="78" w:name="Tc_YCxSUPoFwUSjk_HhMI-Fvw_44_0"/>
      <w:bookmarkStart w:id="79" w:name="Tc_E2OiPDJq9UC4jquXniC9lg_43_0"/>
      <w:bookmarkStart w:id="80" w:name="Tc_HEAavR-V7kisZLh3joUErw_42_0"/>
      <w:bookmarkStart w:id="81" w:name="Tc_7A-Nm9qGBE6C9vQuX8VTuA_41_0"/>
      <w:bookmarkStart w:id="82" w:name="Tc_bYt-fjyWCEe05_wQh1102A_40_0"/>
      <w:bookmarkStart w:id="83" w:name="Tc_x6nZAfEArkCWUuRtYePmTw_39_0"/>
      <w:bookmarkStart w:id="84" w:name="Tc_AapGAL3laUuCq-NkS0WY3g_38_0"/>
      <w:bookmarkStart w:id="85" w:name="Tc_LZGnolIyI0a9MFEifLM8-Q_37_0"/>
      <w:bookmarkStart w:id="86" w:name="Tc_E41mM1OiI0KIzdAr0CHoRw_35_0"/>
      <w:bookmarkStart w:id="87" w:name="Tc_2mpCE6kuzEaFG4W8aQHsDw_33_0"/>
      <w:bookmarkStart w:id="88" w:name="Tc_t1DHJhOxBUaFn4AkuEZChA_31_0"/>
      <w:bookmarkStart w:id="89" w:name="Tc_j4di3yND3EeNbJighsM6uQ_29_0"/>
      <w:bookmarkStart w:id="90" w:name="Tc_m9FYGzIxIUOklt6r5DVJsw_28_0"/>
      <w:bookmarkStart w:id="91" w:name="Tc_wUVodYZpNEWGgSX9D8Y4Qw_27_0"/>
      <w:bookmarkStart w:id="92" w:name="Tc_Po5b5XwOeUyrhsXHmAzNmg_26_0"/>
      <w:bookmarkStart w:id="93" w:name="Tc_Vyjlmw0P5ESYTLTpwjVQ9Q_25_0"/>
      <w:bookmarkStart w:id="94" w:name="Tc_aGTfEw9G7kiYd9RVvq0Smg_24_0"/>
      <w:bookmarkStart w:id="95" w:name="Tc_2w9xVk-9q0qwv6PvFkvIyQ_23_5"/>
      <w:bookmarkStart w:id="96" w:name="Tc_UEJPApHub0240Cwy-sk8IA_23_2"/>
      <w:bookmarkStart w:id="97" w:name="Tc_8LdJkWANhka0E6Ui46CkXw_23_0"/>
      <w:bookmarkStart w:id="98" w:name="Tc_c4HAENgtH0uYqlWUOq4R0Q_22_0"/>
      <w:bookmarkStart w:id="99" w:name="Tc_HZc1_3gsB0yxPhl3jqCi0g_21_0"/>
      <w:bookmarkStart w:id="100" w:name="Tc_hN085qCCPUywWz21XUpj9Q_19_5"/>
      <w:bookmarkStart w:id="101" w:name="Tc_EBe-pz_nEEeHzEmjJDSKsw_19_2"/>
      <w:bookmarkStart w:id="102" w:name="Tc_NiD1AmZyfEWo4PzWKQaI1A_19_0"/>
      <w:bookmarkStart w:id="103" w:name="Tc_GODvyzIRykCmO0rCFops8Q_18_0"/>
      <w:bookmarkStart w:id="104" w:name="Tc_Zg2L3XEOfkCZJW1IadLxWw_17_0"/>
      <w:bookmarkStart w:id="105" w:name="Tc_DEtgISWvd062iVIQvUG5NQ_16_0"/>
      <w:bookmarkStart w:id="106" w:name="Tc_Z-9Ff22wpE2mDU6o6SYohw_15_0"/>
      <w:bookmarkStart w:id="107" w:name="Tc_mQo9n-rkfk-63JoKfwlYRQ_14_0"/>
      <w:bookmarkStart w:id="108" w:name="Tc_js4clYza9UK8x7CgPxDnKw_13_0"/>
      <w:bookmarkStart w:id="109" w:name="Tc_4ulZlxOEI0G0F8tIvX9Ihw_11_0"/>
      <w:bookmarkStart w:id="110" w:name="Tc_Hq9MpmEwsECkkKUpjFvDPA_10_0"/>
      <w:bookmarkStart w:id="111" w:name="Tc_C0wzIE2Hr0OasbQv8n_G-A_9_0"/>
      <w:bookmarkStart w:id="112" w:name="Tc_iUbIFNxlhkiesekBy3Auww_8_0"/>
      <w:bookmarkStart w:id="113" w:name="Tc_RIiDrpFBQE2_f2H7-zJ0FQ_7_0"/>
      <w:bookmarkStart w:id="114" w:name="Tc_BOFqtMyE8ESyoSzTOD67UA_6_0"/>
      <w:bookmarkStart w:id="115" w:name="Tc_3SC82pVQHUWXxX5NlIU22A_5_5"/>
      <w:bookmarkStart w:id="116" w:name="Tc_VWN4DUo5EEuMNt-1foUIYg_5_2"/>
      <w:bookmarkStart w:id="117" w:name="Tc_o8x5rS7wsUmeQ_hPpbl1ng_5_0"/>
      <w:bookmarkStart w:id="118" w:name="Tc_OBtaUDuZLUyXDnw8zJhuig_4_0"/>
      <w:bookmarkStart w:id="119" w:name="Tc_AJjbYxdzC02lF6Ipx4WIpA_3_0"/>
      <w:bookmarkStart w:id="120" w:name="Tc_-deURTiv2U2dgHH9JUlxfA_2_5"/>
      <w:bookmarkStart w:id="121" w:name="Tc_cVSq29nk-0iaTx9uBKM_yg_2_2"/>
      <w:bookmarkStart w:id="122" w:name="Tc_mgmIr8GFnkKZdFYAygiL-w_1_5"/>
      <w:bookmarkStart w:id="123" w:name="Tc_Qh-B3VabpUCo58WFl6ShCg_1_2"/>
      <w:bookmarkStart w:id="124" w:name="_aa78ee75_a14b_4317_a4f4_2660b50578dd"/>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p>
    <w:tbl>
      <w:tblPr>
        <w:tblW w:w="10205" w:type="dxa"/>
        <w:jc w:val="left"/>
        <w:tblInd w:w="0" w:type="dxa"/>
        <w:tblLayout w:type="fixed"/>
        <w:tblCellMar>
          <w:top w:w="0" w:type="dxa"/>
          <w:left w:w="0" w:type="dxa"/>
          <w:bottom w:w="0" w:type="dxa"/>
          <w:right w:w="0" w:type="dxa"/>
        </w:tblCellMar>
      </w:tblPr>
      <w:tblGrid>
        <w:gridCol w:w="7296"/>
        <w:gridCol w:w="326"/>
        <w:gridCol w:w="196"/>
        <w:gridCol w:w="909"/>
        <w:gridCol w:w="326"/>
        <w:gridCol w:w="196"/>
        <w:gridCol w:w="956"/>
      </w:tblGrid>
      <w:tr>
        <w:trPr/>
        <w:tc>
          <w:tcPr>
            <w:tcW w:w="72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07010" cy="175260"/>
                      <wp:effectExtent l="0" t="0" r="0" b="0"/>
                      <wp:wrapNone/>
                      <wp:docPr id="4" name="Frame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24460" cy="175260"/>
                      <wp:effectExtent l="0" t="0" r="0" b="0"/>
                      <wp:wrapNone/>
                      <wp:docPr id="5" name="Frame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577215" cy="175260"/>
                      <wp:effectExtent l="0" t="0" r="0" b="0"/>
                      <wp:wrapNone/>
                      <wp:docPr id="6" name="Frame6"/>
                      <a:graphic xmlns:a="http://schemas.openxmlformats.org/drawingml/2006/main">
                        <a:graphicData uri="http://schemas.microsoft.com/office/word/2010/wordprocessingShape">
                          <wps:wsp>
                            <wps:cNvSpPr txBox="1"/>
                            <wps:spPr>
                              <a:xfrm>
                                <a:off x="0" y="0"/>
                                <a:ext cx="577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07010" cy="175260"/>
                      <wp:effectExtent l="0" t="0" r="0" b="0"/>
                      <wp:wrapNone/>
                      <wp:docPr id="7" name="Frame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24460" cy="175260"/>
                      <wp:effectExtent l="0" t="0" r="0" b="0"/>
                      <wp:wrapNone/>
                      <wp:docPr id="8" name="Frame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07060" cy="175260"/>
                      <wp:effectExtent l="0" t="0" r="0" b="0"/>
                      <wp:wrapNone/>
                      <wp:docPr id="9" name="Frame9"/>
                      <a:graphic xmlns:a="http://schemas.openxmlformats.org/drawingml/2006/main">
                        <a:graphicData uri="http://schemas.microsoft.com/office/word/2010/wordprocessingShape">
                          <wps:wsp>
                            <wps:cNvSpPr txBox="1"/>
                            <wps:spPr>
                              <a:xfrm>
                                <a:off x="0" y="0"/>
                                <a:ext cx="607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2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11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2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1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296" w:type="dxa"/>
            <w:tcBorders/>
            <w:shd w:fill="CCEEFF" w:val="clear"/>
            <w:vAlign w:val="center"/>
          </w:tcPr>
          <w:p>
            <w:pPr>
              <w:pStyle w:val="TableContents"/>
              <w:pBdr/>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56" w:type="dxa"/>
            <w:tcBorders/>
            <w:shd w:fill="CCEEFF" w:val="clear"/>
            <w:vAlign w:val="center"/>
          </w:tcPr>
          <w:p>
            <w:pPr>
              <w:pStyle w:val="TableContents"/>
              <w:bidi w:val="0"/>
              <w:spacing w:before="0" w:after="0"/>
              <w:ind w:left="0" w:right="0" w:hanging="0"/>
              <w:jc w:val="right"/>
              <w:rPr/>
            </w:pPr>
            <w:r>
              <w:rPr/>
              <w:t>​</w:t>
            </w:r>
          </w:p>
        </w:tc>
      </w:tr>
      <w:tr>
        <w:trPr/>
        <w:tc>
          <w:tcPr>
            <w:tcW w:w="729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ASSETS: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56" w:type="dxa"/>
            <w:tcBorders/>
            <w:vAlign w:val="center"/>
          </w:tcPr>
          <w:p>
            <w:pPr>
              <w:pStyle w:val="TableContents"/>
              <w:bidi w:val="0"/>
              <w:spacing w:before="0" w:after="0"/>
              <w:ind w:left="0" w:right="0" w:hanging="0"/>
              <w:jc w:val="right"/>
              <w:rPr/>
            </w:pPr>
            <w:r>
              <w:rPr/>
              <w:t>​</w:t>
            </w:r>
          </w:p>
        </w:tc>
      </w:tr>
      <w:tr>
        <w:trPr/>
        <w:tc>
          <w:tcPr>
            <w:tcW w:w="72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1,869,774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1,307,141</w:t>
            </w:r>
          </w:p>
        </w:tc>
      </w:tr>
      <w:tr>
        <w:trPr/>
        <w:tc>
          <w:tcPr>
            <w:tcW w:w="729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Short-term investments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1,417,239</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1,362,314</w:t>
            </w:r>
          </w:p>
        </w:tc>
      </w:tr>
      <w:tr>
        <w:trPr/>
        <w:tc>
          <w:tcPr>
            <w:tcW w:w="72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 net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1,333,004</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1,016,203</w:t>
            </w:r>
          </w:p>
        </w:tc>
      </w:tr>
      <w:tr>
        <w:trPr/>
        <w:tc>
          <w:tcPr>
            <w:tcW w:w="729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Inventories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846,812</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935,631</w:t>
            </w:r>
          </w:p>
        </w:tc>
      </w:tr>
      <w:tr>
        <w:trPr/>
        <w:tc>
          <w:tcPr>
            <w:tcW w:w="72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expenses and 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148,750</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109,823</w:t>
            </w:r>
          </w:p>
        </w:tc>
      </w:tr>
      <w:tr>
        <w:trPr/>
        <w:tc>
          <w:tcPr>
            <w:tcW w:w="729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income taxes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38,534</w:t>
            </w:r>
          </w:p>
        </w:tc>
        <w:tc>
          <w:tcPr>
            <w:tcW w:w="32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33,785</w:t>
            </w:r>
          </w:p>
        </w:tc>
      </w:tr>
      <w:tr>
        <w:trPr/>
        <w:tc>
          <w:tcPr>
            <w:tcW w:w="72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5,654,113</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4,764,897</w:t>
            </w:r>
          </w:p>
        </w:tc>
      </w:tr>
      <w:tr>
        <w:trPr/>
        <w:tc>
          <w:tcPr>
            <w:tcW w:w="72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56" w:type="dxa"/>
            <w:tcBorders/>
            <w:vAlign w:val="center"/>
          </w:tcPr>
          <w:p>
            <w:pPr>
              <w:pStyle w:val="TableContents"/>
              <w:bidi w:val="0"/>
              <w:spacing w:before="0" w:after="0"/>
              <w:ind w:left="0" w:right="0" w:hanging="0"/>
              <w:jc w:val="right"/>
              <w:rPr/>
            </w:pPr>
            <w:r>
              <w:rPr/>
              <w:t>​</w:t>
            </w:r>
          </w:p>
        </w:tc>
      </w:tr>
      <w:tr>
        <w:trPr/>
        <w:tc>
          <w:tcPr>
            <w:tcW w:w="72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62,248</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61,443</w:t>
            </w:r>
          </w:p>
        </w:tc>
      </w:tr>
      <w:tr>
        <w:trPr/>
        <w:tc>
          <w:tcPr>
            <w:tcW w:w="729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PROPERTY AND EQUIPMENT, net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576,645</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516,897</w:t>
            </w:r>
          </w:p>
        </w:tc>
      </w:tr>
      <w:tr>
        <w:trPr/>
        <w:tc>
          <w:tcPr>
            <w:tcW w:w="72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INCOME TAXES, net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177,039</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177,039</w:t>
            </w:r>
          </w:p>
        </w:tc>
      </w:tr>
      <w:tr>
        <w:trPr/>
        <w:tc>
          <w:tcPr>
            <w:tcW w:w="729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GOODWILL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1,417,941</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1,417,941</w:t>
            </w:r>
          </w:p>
        </w:tc>
      </w:tr>
      <w:tr>
        <w:trPr/>
        <w:tc>
          <w:tcPr>
            <w:tcW w:w="72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INTANGIBLE ASSETS, net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1,224,100</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1,220,410</w:t>
            </w:r>
          </w:p>
        </w:tc>
      </w:tr>
      <w:tr>
        <w:trPr/>
        <w:tc>
          <w:tcPr>
            <w:tcW w:w="729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151,252</w:t>
            </w:r>
          </w:p>
        </w:tc>
        <w:tc>
          <w:tcPr>
            <w:tcW w:w="32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134,478</w:t>
            </w:r>
          </w:p>
        </w:tc>
      </w:tr>
      <w:tr>
        <w:trPr/>
        <w:tc>
          <w:tcPr>
            <w:tcW w:w="7296" w:type="dxa"/>
            <w:tcBorders/>
            <w:shd w:fill="CCEEFF" w:val="clear"/>
            <w:vAlign w:val="center"/>
          </w:tcPr>
          <w:p>
            <w:pPr>
              <w:pStyle w:val="TableContents"/>
              <w:pBdr/>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9,263,338</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8,293,105</w:t>
            </w:r>
          </w:p>
        </w:tc>
      </w:tr>
      <w:tr>
        <w:trPr/>
        <w:tc>
          <w:tcPr>
            <w:tcW w:w="72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56" w:type="dxa"/>
            <w:tcBorders/>
            <w:vAlign w:val="center"/>
          </w:tcPr>
          <w:p>
            <w:pPr>
              <w:pStyle w:val="TableContents"/>
              <w:bidi w:val="0"/>
              <w:spacing w:before="0" w:after="0"/>
              <w:ind w:left="0" w:right="0" w:hanging="0"/>
              <w:jc w:val="right"/>
              <w:rPr/>
            </w:pPr>
            <w:r>
              <w:rPr/>
              <w:t>​</w:t>
            </w:r>
          </w:p>
        </w:tc>
      </w:tr>
      <w:tr>
        <w:trPr/>
        <w:tc>
          <w:tcPr>
            <w:tcW w:w="7296" w:type="dxa"/>
            <w:tcBorders/>
            <w:shd w:fill="CCEEFF" w:val="clear"/>
            <w:vAlign w:val="center"/>
          </w:tcPr>
          <w:p>
            <w:pPr>
              <w:pStyle w:val="TableContents"/>
              <w:pBdr/>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56" w:type="dxa"/>
            <w:tcBorders/>
            <w:shd w:fill="CCEEFF" w:val="clear"/>
            <w:vAlign w:val="center"/>
          </w:tcPr>
          <w:p>
            <w:pPr>
              <w:pStyle w:val="TableContents"/>
              <w:bidi w:val="0"/>
              <w:spacing w:before="0" w:after="0"/>
              <w:ind w:left="0" w:right="0" w:hanging="0"/>
              <w:jc w:val="right"/>
              <w:rPr/>
            </w:pPr>
            <w:r>
              <w:rPr/>
              <w:t>​</w:t>
            </w:r>
          </w:p>
        </w:tc>
      </w:tr>
      <w:tr>
        <w:trPr/>
        <w:tc>
          <w:tcPr>
            <w:tcW w:w="729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LIABILITIES: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56" w:type="dxa"/>
            <w:tcBorders/>
            <w:vAlign w:val="center"/>
          </w:tcPr>
          <w:p>
            <w:pPr>
              <w:pStyle w:val="TableContents"/>
              <w:bidi w:val="0"/>
              <w:spacing w:before="0" w:after="0"/>
              <w:ind w:left="0" w:right="0" w:hanging="0"/>
              <w:jc w:val="right"/>
              <w:rPr/>
            </w:pPr>
            <w:r>
              <w:rPr/>
              <w:t>​</w:t>
            </w:r>
          </w:p>
        </w:tc>
      </w:tr>
      <w:tr>
        <w:trPr/>
        <w:tc>
          <w:tcPr>
            <w:tcW w:w="72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568,613</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444,265</w:t>
            </w:r>
          </w:p>
        </w:tc>
      </w:tr>
      <w:tr>
        <w:trPr/>
        <w:tc>
          <w:tcPr>
            <w:tcW w:w="729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liabilities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198,656</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172,991</w:t>
            </w:r>
          </w:p>
        </w:tc>
      </w:tr>
      <w:tr>
        <w:trPr/>
        <w:tc>
          <w:tcPr>
            <w:tcW w:w="72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promotional allowances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283,647</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255,631</w:t>
            </w:r>
          </w:p>
        </w:tc>
      </w:tr>
      <w:tr>
        <w:trPr/>
        <w:tc>
          <w:tcPr>
            <w:tcW w:w="729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revenue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42,765</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43,311</w:t>
            </w:r>
          </w:p>
        </w:tc>
      </w:tr>
      <w:tr>
        <w:trPr/>
        <w:tc>
          <w:tcPr>
            <w:tcW w:w="72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56,195</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72,463</w:t>
            </w:r>
          </w:p>
        </w:tc>
      </w:tr>
      <w:tr>
        <w:trPr/>
        <w:tc>
          <w:tcPr>
            <w:tcW w:w="729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taxes payable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12,704</w:t>
            </w:r>
          </w:p>
        </w:tc>
        <w:tc>
          <w:tcPr>
            <w:tcW w:w="32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13,317</w:t>
            </w:r>
          </w:p>
        </w:tc>
      </w:tr>
      <w:tr>
        <w:trPr/>
        <w:tc>
          <w:tcPr>
            <w:tcW w:w="72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1,162,580</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1,001,978</w:t>
            </w:r>
          </w:p>
        </w:tc>
      </w:tr>
      <w:tr>
        <w:trPr/>
        <w:tc>
          <w:tcPr>
            <w:tcW w:w="72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56" w:type="dxa"/>
            <w:tcBorders/>
            <w:vAlign w:val="center"/>
          </w:tcPr>
          <w:p>
            <w:pPr>
              <w:pStyle w:val="TableContents"/>
              <w:bidi w:val="0"/>
              <w:spacing w:before="0" w:after="0"/>
              <w:ind w:left="0" w:right="0" w:hanging="0"/>
              <w:jc w:val="right"/>
              <w:rPr/>
            </w:pPr>
            <w:r>
              <w:rPr/>
              <w:t>​</w:t>
            </w:r>
          </w:p>
        </w:tc>
      </w:tr>
      <w:tr>
        <w:trPr/>
        <w:tc>
          <w:tcPr>
            <w:tcW w:w="72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215,039</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223,800</w:t>
            </w:r>
          </w:p>
        </w:tc>
      </w:tr>
      <w:tr>
        <w:trPr/>
        <w:tc>
          <w:tcPr>
            <w:tcW w:w="72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56" w:type="dxa"/>
            <w:tcBorders/>
            <w:vAlign w:val="center"/>
          </w:tcPr>
          <w:p>
            <w:pPr>
              <w:pStyle w:val="TableContents"/>
              <w:bidi w:val="0"/>
              <w:spacing w:before="0" w:after="0"/>
              <w:ind w:left="0" w:right="0" w:hanging="0"/>
              <w:jc w:val="right"/>
              <w:rPr/>
            </w:pPr>
            <w:r>
              <w:rPr/>
              <w:t>​</w:t>
            </w:r>
          </w:p>
        </w:tc>
      </w:tr>
      <w:tr>
        <w:trPr/>
        <w:tc>
          <w:tcPr>
            <w:tcW w:w="72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44,255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42,286</w:t>
            </w:r>
          </w:p>
        </w:tc>
      </w:tr>
      <w:tr>
        <w:trPr/>
        <w:tc>
          <w:tcPr>
            <w:tcW w:w="72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56" w:type="dxa"/>
            <w:tcBorders/>
            <w:vAlign w:val="center"/>
          </w:tcPr>
          <w:p>
            <w:pPr>
              <w:pStyle w:val="TableContents"/>
              <w:bidi w:val="0"/>
              <w:spacing w:before="0" w:after="0"/>
              <w:ind w:left="0" w:right="0" w:hanging="0"/>
              <w:jc w:val="right"/>
              <w:rPr/>
            </w:pPr>
            <w:r>
              <w:rPr/>
              <w:t>​</w:t>
            </w:r>
          </w:p>
        </w:tc>
      </w:tr>
      <w:tr>
        <w:trPr/>
        <w:tc>
          <w:tcPr>
            <w:tcW w:w="72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COMMITMENTS AND CONTINGENCIES (Note 11)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56" w:type="dxa"/>
            <w:tcBorders/>
            <w:shd w:fill="CCEEFF" w:val="clear"/>
            <w:vAlign w:val="center"/>
          </w:tcPr>
          <w:p>
            <w:pPr>
              <w:pStyle w:val="TableContents"/>
              <w:bidi w:val="0"/>
              <w:spacing w:before="0" w:after="0"/>
              <w:ind w:left="0" w:right="0" w:hanging="0"/>
              <w:jc w:val="right"/>
              <w:rPr/>
            </w:pPr>
            <w:r>
              <w:rPr/>
              <w:t>​</w:t>
            </w:r>
          </w:p>
        </w:tc>
      </w:tr>
      <w:tr>
        <w:trPr/>
        <w:tc>
          <w:tcPr>
            <w:tcW w:w="72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56" w:type="dxa"/>
            <w:tcBorders/>
            <w:vAlign w:val="center"/>
          </w:tcPr>
          <w:p>
            <w:pPr>
              <w:pStyle w:val="TableContents"/>
              <w:bidi w:val="0"/>
              <w:spacing w:before="0" w:after="0"/>
              <w:ind w:left="0" w:right="0" w:hanging="0"/>
              <w:jc w:val="right"/>
              <w:rPr/>
            </w:pPr>
            <w:r>
              <w:rPr/>
              <w:t>​</w:t>
            </w:r>
          </w:p>
        </w:tc>
      </w:tr>
      <w:tr>
        <w:trPr/>
        <w:tc>
          <w:tcPr>
            <w:tcW w:w="7296"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STOCKHOLDERS’ EQUITY</w:t>
            </w:r>
            <w:r>
              <w:rPr>
                <w:rFonts w:ascii="Times New Roman;Times;serif" w:hAnsi="Times New Roman;Times;serif"/>
                <w:sz w:val="12"/>
              </w:rPr>
              <w:t>1</w:t>
            </w: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56" w:type="dxa"/>
            <w:tcBorders/>
            <w:shd w:fill="CCEEFF" w:val="clear"/>
            <w:vAlign w:val="center"/>
          </w:tcPr>
          <w:p>
            <w:pPr>
              <w:pStyle w:val="TableContents"/>
              <w:bidi w:val="0"/>
              <w:spacing w:before="0" w:after="0"/>
              <w:ind w:left="0" w:right="0" w:hanging="0"/>
              <w:jc w:val="right"/>
              <w:rPr/>
            </w:pPr>
            <w:r>
              <w:rPr/>
              <w:t>​</w:t>
            </w:r>
          </w:p>
        </w:tc>
      </w:tr>
      <w:tr>
        <w:trPr/>
        <w:tc>
          <w:tcPr>
            <w:tcW w:w="729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stock - $0.005 par value; 5,000,000 shares authorized; 1,118,269 shares issued and 1,047,485 shares outstanding as of June 30, 2023; 1,283,688 shares issued and 1,044,600 shares outstanding as of December 31, 2022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5,591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6,418</w:t>
            </w:r>
          </w:p>
        </w:tc>
      </w:tr>
      <w:tr>
        <w:trPr/>
        <w:tc>
          <w:tcPr>
            <w:tcW w:w="72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Additional paid-in capital</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4,869,791</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4,776,804</w:t>
            </w:r>
          </w:p>
        </w:tc>
      </w:tr>
      <w:tr>
        <w:trPr/>
        <w:tc>
          <w:tcPr>
            <w:tcW w:w="729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Retained earnings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5,120,063</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9,001,173</w:t>
            </w:r>
          </w:p>
        </w:tc>
      </w:tr>
      <w:tr>
        <w:trPr/>
        <w:tc>
          <w:tcPr>
            <w:tcW w:w="72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Accumulated other comprehensive loss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(155,725)</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(159,073)</w:t>
            </w:r>
          </w:p>
        </w:tc>
      </w:tr>
      <w:tr>
        <w:trPr/>
        <w:tc>
          <w:tcPr>
            <w:tcW w:w="729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stock in treasury, at cost; 70,784 shares and 239,088 shares as of June 30, 2023 and December 31, 2022, respectively</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(1,998,256)</w:t>
            </w:r>
          </w:p>
        </w:tc>
        <w:tc>
          <w:tcPr>
            <w:tcW w:w="32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(6,600,281)</w:t>
            </w:r>
          </w:p>
        </w:tc>
      </w:tr>
      <w:tr>
        <w:trPr/>
        <w:tc>
          <w:tcPr>
            <w:tcW w:w="72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7,841,464</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7,025,041</w:t>
            </w:r>
          </w:p>
        </w:tc>
      </w:tr>
      <w:tr>
        <w:trPr/>
        <w:tc>
          <w:tcPr>
            <w:tcW w:w="7296" w:type="dxa"/>
            <w:tcBorders/>
            <w:vAlign w:val="center"/>
          </w:tcPr>
          <w:p>
            <w:pPr>
              <w:pStyle w:val="TableContents"/>
              <w:pBdr/>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Liabilities and Stockholders’ Equity</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9,263,338</w:t>
            </w:r>
          </w:p>
        </w:tc>
        <w:tc>
          <w:tcPr>
            <w:tcW w:w="32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5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8,293,105</w:t>
            </w:r>
          </w:p>
        </w:tc>
      </w:tr>
    </w:tbl>
    <w:p>
      <w:pPr>
        <w:pStyle w:val="TextBody"/>
        <w:bidi w:val="0"/>
        <w:spacing w:before="0" w:after="0"/>
        <w:ind w:left="0" w:right="0" w:hanging="0"/>
        <w:jc w:val="left"/>
        <w:rPr/>
      </w:pPr>
      <w:r>
        <w:rPr/>
        <w:t>​</w:t>
      </w:r>
    </w:p>
    <w:p>
      <w:pPr>
        <w:pStyle w:val="TextBody"/>
        <w:bidi w:val="0"/>
        <w:spacing w:lineRule="auto" w:line="240" w:before="0" w:after="0"/>
        <w:ind w:left="0" w:right="0" w:hanging="0"/>
        <w:jc w:val="both"/>
        <w:rPr>
          <w:rFonts w:ascii="Times New Roman;Times;serif" w:hAnsi="Times New Roman;Times;serif"/>
          <w:sz w:val="16"/>
        </w:rPr>
      </w:pPr>
      <w:r>
        <w:rPr>
          <w:rFonts w:ascii="Times New Roman;Times;serif" w:hAnsi="Times New Roman;Times;serif"/>
          <w:i/>
          <w:sz w:val="12"/>
        </w:rPr>
        <w:t>1</w:t>
      </w:r>
      <w:r>
        <w:rPr>
          <w:rFonts w:ascii="Times New Roman;Times;serif" w:hAnsi="Times New Roman;Times;serif"/>
          <w:sz w:val="16"/>
        </w:rPr>
        <w:t xml:space="preserve"> </w:t>
      </w:r>
      <w:r>
        <w:rPr>
          <w:rFonts w:ascii="Times New Roman;Times;serif" w:hAnsi="Times New Roman;Times;serif"/>
          <w:i/>
          <w:sz w:val="18"/>
        </w:rPr>
        <w:t>Stock Split - On February 28, 2023, the Company announced a two-for-one stock split of its common stock to be effected in the form of a 100% stock dividend. The stock dividend was issued on March 27, 2023 (the “Stock Split”). The accompanying condensed consolidated financial statements and notes thereto have been retroactively updated to reflect the Stock Split. See Note 1 for additional information.</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25" w:name="_b57ff66e_e528_443f_ace6_a43ec1c7c664"/>
      <w:bookmarkEnd w:id="125"/>
      <w:r>
        <w:rPr>
          <w:rFonts w:ascii="Times New Roman;Times;serif" w:hAnsi="Times New Roman;Times;serif"/>
          <w:b/>
          <w:sz w:val="20"/>
        </w:rPr>
        <w:t>MONSTER BEVERAGE CORPORATION AND SUBSIDIARIES</w:t>
      </w:r>
    </w:p>
    <w:p>
      <w:pPr>
        <w:pStyle w:val="TextBody"/>
        <w:bidi w:val="0"/>
        <w:spacing w:before="0" w:after="0"/>
        <w:ind w:left="0" w:right="0" w:hanging="0"/>
        <w:jc w:val="left"/>
        <w:rPr>
          <w:rFonts w:ascii="Times New Roman;Times;serif" w:hAnsi="Times New Roman;Times;serif"/>
          <w:b/>
          <w:sz w:val="20"/>
        </w:rPr>
      </w:pPr>
      <w:bookmarkStart w:id="126" w:name="STATEMENTSOFINCOME_393941"/>
      <w:bookmarkEnd w:id="126"/>
      <w:r>
        <w:rPr>
          <w:rFonts w:ascii="Times New Roman;Times;serif" w:hAnsi="Times New Roman;Times;serif"/>
          <w:b/>
          <w:sz w:val="20"/>
        </w:rPr>
        <w:t>CONDENSED CONSOLIDATED STATEMENTS OF INCOME</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THREE- AND SIX-MONTHS ENDED JUNE 30, 2023 AND 2022</w:t>
      </w:r>
    </w:p>
    <w:p>
      <w:pPr>
        <w:pStyle w:val="TextBody"/>
        <w:pBdr>
          <w:bottom w:val="single" w:sz="12" w:space="1" w:color="000000"/>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(In Thousands, Except Per Share Amounts) (Unaudited) </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27" w:name="Tc_pxvOJeNvcUSdLCSP0ImYOw_29_0"/>
      <w:bookmarkStart w:id="128" w:name="Tc_U9GBCyGNCkC6cXfzfPctlQ_28_0"/>
      <w:bookmarkStart w:id="129" w:name="Tc_w6wF8vAN4UGIYhZalF9RCQ_27_0"/>
      <w:bookmarkStart w:id="130" w:name="Tc_MubRzSCwsUik-UPcyel-IQ_25_11"/>
      <w:bookmarkStart w:id="131" w:name="Tc_OCT5FKrSsE68H8Gc7UGmDQ_25_8"/>
      <w:bookmarkStart w:id="132" w:name="Tc_JtppNmy8rUOccm8G8rI8jQ_25_5"/>
      <w:bookmarkStart w:id="133" w:name="Tc_vpg-RDyNqk63QuFLLcu_cA_25_2"/>
      <w:bookmarkStart w:id="134" w:name="Tc_oqagHDM2wka_fsYGOOWr5Q_25_0"/>
      <w:bookmarkStart w:id="135" w:name="Tc_Ts3e8yXZj02ZTOp5mmkUHw_24_11"/>
      <w:bookmarkStart w:id="136" w:name="Tc_pLJuUK2ruk6XIvBkWiBDcg_24_8"/>
      <w:bookmarkStart w:id="137" w:name="Tc_IljQK6mA_0qo2ZyUt6SjGg_24_5"/>
      <w:bookmarkStart w:id="138" w:name="Tc_H5197t3QiU--Xy-AaR95aQ_24_2"/>
      <w:bookmarkStart w:id="139" w:name="Tc_xDAOeG8JW0-Yow1SoHJShA_24_0"/>
      <w:bookmarkStart w:id="140" w:name="Tc_rPCiwQydWUyAzx5zTVxjuQ_23_0"/>
      <w:bookmarkStart w:id="141" w:name="Tc_ArqHE-K9S0CtcQHAoKhyRQ_21_11"/>
      <w:bookmarkStart w:id="142" w:name="Tc_veClOc1UZkekqVPEtr_rwA_21_8"/>
      <w:bookmarkStart w:id="143" w:name="Tc_hzs41LX1tk6QjiscWDHsSA_21_5"/>
      <w:bookmarkStart w:id="144" w:name="Tc_yt2JGdyU-k2kXeaV8A_e8w_21_2"/>
      <w:bookmarkStart w:id="145" w:name="Tc_AkmckvP62kyAceqsKViCTA_21_0"/>
      <w:bookmarkStart w:id="146" w:name="Tc_lO9FkhPf7kSzjHQpib9RbQ_19_0"/>
      <w:bookmarkStart w:id="147" w:name="Tc_MbUhowKnd0aB05DJtunayw_17_0"/>
      <w:bookmarkStart w:id="148" w:name="Tc_qTNROh1cn06VA2S2SxDLSw_15_0"/>
      <w:bookmarkStart w:id="149" w:name="Tc_YqeyfKhIrEuw2lcUZkehbA_13_0"/>
      <w:bookmarkStart w:id="150" w:name="Tc_VcbKLwhwUE2pFUFAXDBcww_11_0"/>
      <w:bookmarkStart w:id="151" w:name="Tc_xX6iVOdFw0GTMlfaMrn7ZQ_9_0"/>
      <w:bookmarkStart w:id="152" w:name="Tc_Q8ePKuAJsE-o2RtEGREyaw_7_0"/>
      <w:bookmarkStart w:id="153" w:name="Tc_CyCfJcAYh0eWD2Abna7nmA_5_11"/>
      <w:bookmarkStart w:id="154" w:name="Tc_da-y8Euun0mLIjWsCRoSKA_5_8"/>
      <w:bookmarkStart w:id="155" w:name="Tc_axtlu7Id0E6su1Kq4jPB-w_5_5"/>
      <w:bookmarkStart w:id="156" w:name="Tc_Y5VvCCdjVU-sJNfJf0LHpw_5_2"/>
      <w:bookmarkStart w:id="157" w:name="Tc_p-twVjB7O0CVh7OvF3mQsQ_5_0"/>
      <w:bookmarkStart w:id="158" w:name="Tc_dcL6wYSn10ew781_D2v-tQ_3_11"/>
      <w:bookmarkStart w:id="159" w:name="Tc_34Ey_OEiLUCG46ZTsJfgNQ_3_8"/>
      <w:bookmarkStart w:id="160" w:name="Tc_3Arqx9E73kGte0SqPO0X6Q_3_5"/>
      <w:bookmarkStart w:id="161" w:name="Tc_XLJ5el6Js0Cr34MUUAaC_A_3_2"/>
      <w:bookmarkStart w:id="162" w:name="Tc_gM9KIXQjXUeATthu61xxgA_2_8"/>
      <w:bookmarkStart w:id="163" w:name="Tc_5-EZq14lDE6wiAMthynaMQ_2_2"/>
      <w:bookmarkStart w:id="164" w:name="Tc_a_n3TmqHnUiVmYkJQ4NoGQ_1_8"/>
      <w:bookmarkStart w:id="165" w:name="Tc_fwpYgNguKkC9ylAu1Uxx-A_1_2"/>
      <w:bookmarkStart w:id="166" w:name="_e41ed53e_8063_4a6b_97b7_63b0959abaf8"/>
      <w:bookmarkStart w:id="167" w:name="Tc_pxvOJeNvcUSdLCSP0ImYOw_29_0"/>
      <w:bookmarkStart w:id="168" w:name="Tc_U9GBCyGNCkC6cXfzfPctlQ_28_0"/>
      <w:bookmarkStart w:id="169" w:name="Tc_w6wF8vAN4UGIYhZalF9RCQ_27_0"/>
      <w:bookmarkStart w:id="170" w:name="Tc_MubRzSCwsUik-UPcyel-IQ_25_11"/>
      <w:bookmarkStart w:id="171" w:name="Tc_OCT5FKrSsE68H8Gc7UGmDQ_25_8"/>
      <w:bookmarkStart w:id="172" w:name="Tc_JtppNmy8rUOccm8G8rI8jQ_25_5"/>
      <w:bookmarkStart w:id="173" w:name="Tc_vpg-RDyNqk63QuFLLcu_cA_25_2"/>
      <w:bookmarkStart w:id="174" w:name="Tc_oqagHDM2wka_fsYGOOWr5Q_25_0"/>
      <w:bookmarkStart w:id="175" w:name="Tc_Ts3e8yXZj02ZTOp5mmkUHw_24_11"/>
      <w:bookmarkStart w:id="176" w:name="Tc_pLJuUK2ruk6XIvBkWiBDcg_24_8"/>
      <w:bookmarkStart w:id="177" w:name="Tc_IljQK6mA_0qo2ZyUt6SjGg_24_5"/>
      <w:bookmarkStart w:id="178" w:name="Tc_H5197t3QiU--Xy-AaR95aQ_24_2"/>
      <w:bookmarkStart w:id="179" w:name="Tc_xDAOeG8JW0-Yow1SoHJShA_24_0"/>
      <w:bookmarkStart w:id="180" w:name="Tc_rPCiwQydWUyAzx5zTVxjuQ_23_0"/>
      <w:bookmarkStart w:id="181" w:name="Tc_ArqHE-K9S0CtcQHAoKhyRQ_21_11"/>
      <w:bookmarkStart w:id="182" w:name="Tc_veClOc1UZkekqVPEtr_rwA_21_8"/>
      <w:bookmarkStart w:id="183" w:name="Tc_hzs41LX1tk6QjiscWDHsSA_21_5"/>
      <w:bookmarkStart w:id="184" w:name="Tc_yt2JGdyU-k2kXeaV8A_e8w_21_2"/>
      <w:bookmarkStart w:id="185" w:name="Tc_AkmckvP62kyAceqsKViCTA_21_0"/>
      <w:bookmarkStart w:id="186" w:name="Tc_lO9FkhPf7kSzjHQpib9RbQ_19_0"/>
      <w:bookmarkStart w:id="187" w:name="Tc_MbUhowKnd0aB05DJtunayw_17_0"/>
      <w:bookmarkStart w:id="188" w:name="Tc_qTNROh1cn06VA2S2SxDLSw_15_0"/>
      <w:bookmarkStart w:id="189" w:name="Tc_YqeyfKhIrEuw2lcUZkehbA_13_0"/>
      <w:bookmarkStart w:id="190" w:name="Tc_VcbKLwhwUE2pFUFAXDBcww_11_0"/>
      <w:bookmarkStart w:id="191" w:name="Tc_xX6iVOdFw0GTMlfaMrn7ZQ_9_0"/>
      <w:bookmarkStart w:id="192" w:name="Tc_Q8ePKuAJsE-o2RtEGREyaw_7_0"/>
      <w:bookmarkStart w:id="193" w:name="Tc_CyCfJcAYh0eWD2Abna7nmA_5_11"/>
      <w:bookmarkStart w:id="194" w:name="Tc_da-y8Euun0mLIjWsCRoSKA_5_8"/>
      <w:bookmarkStart w:id="195" w:name="Tc_axtlu7Id0E6su1Kq4jPB-w_5_5"/>
      <w:bookmarkStart w:id="196" w:name="Tc_Y5VvCCdjVU-sJNfJf0LHpw_5_2"/>
      <w:bookmarkStart w:id="197" w:name="Tc_p-twVjB7O0CVh7OvF3mQsQ_5_0"/>
      <w:bookmarkStart w:id="198" w:name="Tc_dcL6wYSn10ew781_D2v-tQ_3_11"/>
      <w:bookmarkStart w:id="199" w:name="Tc_34Ey_OEiLUCG46ZTsJfgNQ_3_8"/>
      <w:bookmarkStart w:id="200" w:name="Tc_3Arqx9E73kGte0SqPO0X6Q_3_5"/>
      <w:bookmarkStart w:id="201" w:name="Tc_XLJ5el6Js0Cr34MUUAaC_A_3_2"/>
      <w:bookmarkStart w:id="202" w:name="Tc_gM9KIXQjXUeATthu61xxgA_2_8"/>
      <w:bookmarkStart w:id="203" w:name="Tc_5-EZq14lDE6wiAMthynaMQ_2_2"/>
      <w:bookmarkStart w:id="204" w:name="Tc_a_n3TmqHnUiVmYkJQ4NoGQ_1_8"/>
      <w:bookmarkStart w:id="205" w:name="Tc_fwpYgNguKkC9ylAu1Uxx-A_1_2"/>
      <w:bookmarkStart w:id="206" w:name="_e41ed53e_8063_4a6b_97b7_63b0959abaf8"/>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p>
    <w:tbl>
      <w:tblPr>
        <w:tblW w:w="10205" w:type="dxa"/>
        <w:jc w:val="left"/>
        <w:tblInd w:w="0" w:type="dxa"/>
        <w:tblLayout w:type="fixed"/>
        <w:tblCellMar>
          <w:top w:w="0" w:type="dxa"/>
          <w:left w:w="0" w:type="dxa"/>
          <w:bottom w:w="0" w:type="dxa"/>
          <w:right w:w="0" w:type="dxa"/>
        </w:tblCellMar>
      </w:tblPr>
      <w:tblGrid>
        <w:gridCol w:w="4708"/>
        <w:gridCol w:w="326"/>
        <w:gridCol w:w="196"/>
        <w:gridCol w:w="826"/>
        <w:gridCol w:w="326"/>
        <w:gridCol w:w="196"/>
        <w:gridCol w:w="826"/>
        <w:gridCol w:w="326"/>
        <w:gridCol w:w="196"/>
        <w:gridCol w:w="826"/>
        <w:gridCol w:w="326"/>
        <w:gridCol w:w="196"/>
        <w:gridCol w:w="931"/>
      </w:tblGrid>
      <w:tr>
        <w:trPr/>
        <w:tc>
          <w:tcPr>
            <w:tcW w:w="47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989580" cy="175260"/>
                      <wp:effectExtent l="0" t="0" r="0" b="0"/>
                      <wp:wrapNone/>
                      <wp:docPr id="10" name="Frame10"/>
                      <a:graphic xmlns:a="http://schemas.openxmlformats.org/drawingml/2006/main">
                        <a:graphicData uri="http://schemas.microsoft.com/office/word/2010/wordprocessingShape">
                          <wps:wsp>
                            <wps:cNvSpPr txBox="1"/>
                            <wps:spPr>
                              <a:xfrm>
                                <a:off x="0" y="0"/>
                                <a:ext cx="2989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07010" cy="175260"/>
                      <wp:effectExtent l="0" t="0" r="0" b="0"/>
                      <wp:wrapNone/>
                      <wp:docPr id="11" name="Frame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24460" cy="175260"/>
                      <wp:effectExtent l="0" t="0" r="0" b="0"/>
                      <wp:wrapNone/>
                      <wp:docPr id="12" name="Frame1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524510" cy="175260"/>
                      <wp:effectExtent l="0" t="0" r="0" b="0"/>
                      <wp:wrapNone/>
                      <wp:docPr id="13" name="Frame1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07010" cy="175260"/>
                      <wp:effectExtent l="0" t="0" r="0" b="0"/>
                      <wp:wrapNone/>
                      <wp:docPr id="14" name="Frame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24460" cy="175260"/>
                      <wp:effectExtent l="0" t="0" r="0" b="0"/>
                      <wp:wrapNone/>
                      <wp:docPr id="15" name="Frame1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524510" cy="175260"/>
                      <wp:effectExtent l="0" t="0" r="0" b="0"/>
                      <wp:wrapNone/>
                      <wp:docPr id="16" name="Frame1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7010" cy="175260"/>
                      <wp:effectExtent l="0" t="0" r="0" b="0"/>
                      <wp:wrapNone/>
                      <wp:docPr id="17" name="Frame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24460" cy="175260"/>
                      <wp:effectExtent l="0" t="0" r="0" b="0"/>
                      <wp:wrapNone/>
                      <wp:docPr id="18" name="Frame1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524510" cy="175260"/>
                      <wp:effectExtent l="0" t="0" r="0" b="0"/>
                      <wp:wrapNone/>
                      <wp:docPr id="19" name="Frame1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07010" cy="175260"/>
                      <wp:effectExtent l="0" t="0" r="0" b="0"/>
                      <wp:wrapNone/>
                      <wp:docPr id="20" name="Frame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24460" cy="175260"/>
                      <wp:effectExtent l="0" t="0" r="0" b="0"/>
                      <wp:wrapNone/>
                      <wp:docPr id="21" name="Frame2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591185" cy="175260"/>
                      <wp:effectExtent l="0" t="0" r="0" b="0"/>
                      <wp:wrapNone/>
                      <wp:docPr id="22" name="Frame2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70" w:type="dxa"/>
            <w:gridSpan w:val="5"/>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Three-Months Ended</w:t>
            </w:r>
          </w:p>
        </w:tc>
        <w:tc>
          <w:tcPr>
            <w:tcW w:w="326" w:type="dxa"/>
            <w:tcBorders/>
            <w:vAlign w:val="center"/>
          </w:tcPr>
          <w:p>
            <w:pPr>
              <w:pStyle w:val="TableContents"/>
              <w:bidi w:val="0"/>
              <w:spacing w:before="0" w:after="0"/>
              <w:ind w:left="0" w:right="0" w:hanging="0"/>
              <w:jc w:val="left"/>
              <w:rPr/>
            </w:pPr>
            <w:r>
              <w:rPr/>
              <w:t>​</w:t>
            </w:r>
          </w:p>
        </w:tc>
        <w:tc>
          <w:tcPr>
            <w:tcW w:w="2475" w:type="dxa"/>
            <w:gridSpan w:val="5"/>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Six-Months Ended</w:t>
            </w:r>
          </w:p>
        </w:tc>
      </w:tr>
      <w:tr>
        <w:trPr/>
        <w:tc>
          <w:tcPr>
            <w:tcW w:w="47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7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30, </w:t>
            </w:r>
          </w:p>
        </w:tc>
        <w:tc>
          <w:tcPr>
            <w:tcW w:w="326" w:type="dxa"/>
            <w:tcBorders/>
            <w:vAlign w:val="center"/>
          </w:tcPr>
          <w:p>
            <w:pPr>
              <w:pStyle w:val="TableContents"/>
              <w:bidi w:val="0"/>
              <w:spacing w:before="0" w:after="0"/>
              <w:ind w:left="0" w:right="0" w:hanging="0"/>
              <w:jc w:val="left"/>
              <w:rPr/>
            </w:pPr>
            <w:r>
              <w:rPr/>
              <w:t>​</w:t>
            </w:r>
          </w:p>
        </w:tc>
        <w:tc>
          <w:tcPr>
            <w:tcW w:w="24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30, </w:t>
            </w:r>
          </w:p>
        </w:tc>
      </w:tr>
      <w:tr>
        <w:trPr/>
        <w:tc>
          <w:tcPr>
            <w:tcW w:w="47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2022</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6" w:type="dxa"/>
            <w:tcBorders/>
            <w:vAlign w:val="center"/>
          </w:tcPr>
          <w:p>
            <w:pPr>
              <w:pStyle w:val="TableContents"/>
              <w:bidi w:val="0"/>
              <w:spacing w:before="0" w:after="0"/>
              <w:ind w:left="0" w:right="0" w:hanging="0"/>
              <w:jc w:val="left"/>
              <w:rPr/>
            </w:pPr>
            <w:r>
              <w:rPr/>
              <w:t>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2022</w:t>
            </w:r>
          </w:p>
        </w:tc>
      </w:tr>
      <w:tr>
        <w:trPr/>
        <w:tc>
          <w:tcPr>
            <w:tcW w:w="47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r>
      <w:tr>
        <w:trPr/>
        <w:tc>
          <w:tcPr>
            <w:tcW w:w="47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1,854,961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1,655,260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3,553,891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3,173,833</w:t>
            </w:r>
          </w:p>
        </w:tc>
      </w:tr>
      <w:tr>
        <w:trPr/>
        <w:tc>
          <w:tcPr>
            <w:tcW w:w="47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47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COST OF SALES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880,739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875,399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1,681,820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1,617,306</w:t>
            </w:r>
          </w:p>
        </w:tc>
      </w:tr>
      <w:tr>
        <w:trPr/>
        <w:tc>
          <w:tcPr>
            <w:tcW w:w="47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47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974,222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779,861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1,872,071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1,556,527</w:t>
            </w:r>
          </w:p>
        </w:tc>
      </w:tr>
      <w:tr>
        <w:trPr/>
        <w:tc>
          <w:tcPr>
            <w:tcW w:w="47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47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450,417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406,910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863,201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784,088</w:t>
            </w:r>
          </w:p>
        </w:tc>
      </w:tr>
      <w:tr>
        <w:trPr/>
        <w:tc>
          <w:tcPr>
            <w:tcW w:w="47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47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INCOME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523,805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372,951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1,008,870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772,439</w:t>
            </w:r>
          </w:p>
        </w:tc>
      </w:tr>
      <w:tr>
        <w:trPr/>
        <w:tc>
          <w:tcPr>
            <w:tcW w:w="47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47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and OTHER INCOME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15,159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(6,781)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27,653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(14,080)</w:t>
            </w:r>
          </w:p>
        </w:tc>
      </w:tr>
      <w:tr>
        <w:trPr/>
        <w:tc>
          <w:tcPr>
            <w:tcW w:w="47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47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BEFORE PROVISION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538,964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366,170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1,036,523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758,359</w:t>
            </w:r>
          </w:p>
        </w:tc>
      </w:tr>
      <w:tr>
        <w:trPr/>
        <w:tc>
          <w:tcPr>
            <w:tcW w:w="47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47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PROVISION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125,093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92,810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225,208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190,796</w:t>
            </w:r>
          </w:p>
        </w:tc>
      </w:tr>
      <w:tr>
        <w:trPr/>
        <w:tc>
          <w:tcPr>
            <w:tcW w:w="47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47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413,871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273,360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811,315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567,563</w:t>
            </w:r>
          </w:p>
        </w:tc>
      </w:tr>
      <w:tr>
        <w:trPr/>
        <w:tc>
          <w:tcPr>
            <w:tcW w:w="47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4708"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NET INCOME PER COMMON SHARE</w:t>
            </w:r>
            <w:r>
              <w:rPr>
                <w:rFonts w:ascii="Times New Roman;Times;serif" w:hAnsi="Times New Roman;Times;serif"/>
                <w:sz w:val="14"/>
              </w:rPr>
              <w:t>1</w:t>
            </w:r>
            <w:r>
              <w:rPr>
                <w:rFonts w:ascii="Times New Roman;Times;serif" w:hAnsi="Times New Roman;Times;serif"/>
                <w:sz w:val="18"/>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4708"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0.40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0.26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0.78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0.54</w:t>
            </w:r>
          </w:p>
        </w:tc>
      </w:tr>
      <w:tr>
        <w:trPr/>
        <w:tc>
          <w:tcPr>
            <w:tcW w:w="47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0.39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0.26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0.77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0.53</w:t>
            </w:r>
          </w:p>
        </w:tc>
      </w:tr>
      <w:tr>
        <w:trPr/>
        <w:tc>
          <w:tcPr>
            <w:tcW w:w="47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4708"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WEIGHTED AVERAGE NUMBER OF SHARES OF COMMON STOCK AND COMMON STOCK EQUIVALENTS</w:t>
            </w:r>
            <w:r>
              <w:rPr>
                <w:rFonts w:ascii="Times New Roman;Times;serif" w:hAnsi="Times New Roman;Times;serif"/>
                <w:sz w:val="14"/>
              </w:rPr>
              <w:t>1</w:t>
            </w:r>
            <w:r>
              <w:rPr>
                <w:rFonts w:ascii="Times New Roman;Times;serif" w:hAnsi="Times New Roman;Times;serif"/>
                <w:sz w:val="18"/>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4708"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1,047,065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1,057,233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1,045,993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1,058,017</w:t>
            </w:r>
          </w:p>
        </w:tc>
      </w:tr>
      <w:tr>
        <w:trPr/>
        <w:tc>
          <w:tcPr>
            <w:tcW w:w="47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1,060,093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1,069,622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1,059,667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1,070,418</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¹ Stock Split - The accompanying condensed consolidated financial statements and notes thereto have been retroactively updated to reflect the Stock Split. See Note 1 for additional information.</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207" w:name="_0e5aca14_480b_46a6_8fb3_164ca15a6388"/>
      <w:bookmarkEnd w:id="207"/>
      <w:r>
        <w:rPr>
          <w:rFonts w:ascii="Times New Roman;Times;serif" w:hAnsi="Times New Roman;Times;serif"/>
          <w:b/>
          <w:sz w:val="20"/>
        </w:rPr>
        <w:t>MONSTER BEVERAGE CORPORATION AND SUBSIDIARIES</w:t>
      </w:r>
    </w:p>
    <w:p>
      <w:pPr>
        <w:pStyle w:val="TextBody"/>
        <w:bidi w:val="0"/>
        <w:spacing w:before="0" w:after="0"/>
        <w:ind w:left="0" w:right="0" w:hanging="0"/>
        <w:jc w:val="left"/>
        <w:rPr>
          <w:rFonts w:ascii="Times New Roman;Times;serif" w:hAnsi="Times New Roman;Times;serif"/>
          <w:b/>
          <w:sz w:val="20"/>
        </w:rPr>
      </w:pPr>
      <w:bookmarkStart w:id="208" w:name="STATEMENTSOFCOMPREHENSIVEINCOME_19420"/>
      <w:bookmarkEnd w:id="208"/>
      <w:r>
        <w:rPr>
          <w:rFonts w:ascii="Times New Roman;Times;serif" w:hAnsi="Times New Roman;Times;serif"/>
          <w:b/>
          <w:sz w:val="20"/>
        </w:rPr>
        <w:t>CONDENSED CONSOLIDATED STATEMENTS OF COMPREHENSIVE INCOME</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THREE- AND SIX-MONTHS ENDED JUNE 30, 2023 AND 2022</w:t>
      </w:r>
    </w:p>
    <w:p>
      <w:pPr>
        <w:pStyle w:val="TextBody"/>
        <w:pBdr>
          <w:bottom w:val="single" w:sz="12" w:space="1" w:color="000000"/>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(In Thousands) (Unaudited) </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09" w:name="Tc_Yela7Q33fkiOAywbACQGNQ_11_11"/>
      <w:bookmarkStart w:id="210" w:name="Tc_eKhFa0mt406UmDV9IXJevw_11_8"/>
      <w:bookmarkStart w:id="211" w:name="Tc_n4lk0fuB-0COYpeFm4YZbQ_11_5"/>
      <w:bookmarkStart w:id="212" w:name="Tc_qVKy78ZQKEi-f4_UDV8Trw_11_2"/>
      <w:bookmarkStart w:id="213" w:name="Tc_5DuTX_4Nzk2mNRwXkr2hrw_11_0"/>
      <w:bookmarkStart w:id="214" w:name="Tc_gFw8a6gfZ0W0T5nc1TiglA_10_0"/>
      <w:bookmarkStart w:id="215" w:name="Tc_NJNGjcf5-0C3uvz5Gt2SnA_9_0"/>
      <w:bookmarkStart w:id="216" w:name="Tc_G9fwwY1gDEyGROE1W9nD8g_8_0"/>
      <w:bookmarkStart w:id="217" w:name="Tc_cG_yWEot7k2_-KWOaION8Q_7_0"/>
      <w:bookmarkStart w:id="218" w:name="Tc_z1qIuv11zkGrLMifWsWgKg_6_0"/>
      <w:bookmarkStart w:id="219" w:name="Tc_XXdbygA6y0q5aM1SDuli8w_5_0"/>
      <w:bookmarkStart w:id="220" w:name="Tc_cIJq7Gfle0SyKRJizp2YUQ_4_11"/>
      <w:bookmarkStart w:id="221" w:name="Tc_BE7i7g3PCUm8YD9f6vE1Ag_4_8"/>
      <w:bookmarkStart w:id="222" w:name="Tc_fhyX8GQF6EKuFn9JcBUW7g_4_5"/>
      <w:bookmarkStart w:id="223" w:name="Tc_A64LMPLm4k-yKYsIYpsjAA_4_2"/>
      <w:bookmarkStart w:id="224" w:name="Tc_UDL0wiXWKkCR5a0q3HX7pQ_4_0"/>
      <w:bookmarkStart w:id="225" w:name="Tc_D1k68So2AkerafVRx_kk6Q_3_11"/>
      <w:bookmarkStart w:id="226" w:name="Tc_uD9zFtGzxkS5j8tHC8V5Fw_3_8"/>
      <w:bookmarkStart w:id="227" w:name="Tc_cvzPNr2kMUygt3ZnOUnbRg_3_5"/>
      <w:bookmarkStart w:id="228" w:name="Tc_j2_V0670iEu216rXCiAoBQ_3_2"/>
      <w:bookmarkStart w:id="229" w:name="Tc_QrACO2qodku151QQ4hu8UA_2_8"/>
      <w:bookmarkStart w:id="230" w:name="Tc__QV_VYhN7EK3sJMbWg7Nrg_2_2"/>
      <w:bookmarkStart w:id="231" w:name="Tc_vW4-gDesyk-ukvS6lMSSDg_1_8"/>
      <w:bookmarkStart w:id="232" w:name="Tc_uAXMQIAVWUuZ2lsD1A_s7g_1_2"/>
      <w:bookmarkStart w:id="233" w:name="_573ee5ac_a9bc_4816_916d_45e1e2716977"/>
      <w:bookmarkStart w:id="234" w:name="Tc_Yela7Q33fkiOAywbACQGNQ_11_11"/>
      <w:bookmarkStart w:id="235" w:name="Tc_eKhFa0mt406UmDV9IXJevw_11_8"/>
      <w:bookmarkStart w:id="236" w:name="Tc_n4lk0fuB-0COYpeFm4YZbQ_11_5"/>
      <w:bookmarkStart w:id="237" w:name="Tc_qVKy78ZQKEi-f4_UDV8Trw_11_2"/>
      <w:bookmarkStart w:id="238" w:name="Tc_5DuTX_4Nzk2mNRwXkr2hrw_11_0"/>
      <w:bookmarkStart w:id="239" w:name="Tc_gFw8a6gfZ0W0T5nc1TiglA_10_0"/>
      <w:bookmarkStart w:id="240" w:name="Tc_NJNGjcf5-0C3uvz5Gt2SnA_9_0"/>
      <w:bookmarkStart w:id="241" w:name="Tc_G9fwwY1gDEyGROE1W9nD8g_8_0"/>
      <w:bookmarkStart w:id="242" w:name="Tc_cG_yWEot7k2_-KWOaION8Q_7_0"/>
      <w:bookmarkStart w:id="243" w:name="Tc_z1qIuv11zkGrLMifWsWgKg_6_0"/>
      <w:bookmarkStart w:id="244" w:name="Tc_XXdbygA6y0q5aM1SDuli8w_5_0"/>
      <w:bookmarkStart w:id="245" w:name="Tc_cIJq7Gfle0SyKRJizp2YUQ_4_11"/>
      <w:bookmarkStart w:id="246" w:name="Tc_BE7i7g3PCUm8YD9f6vE1Ag_4_8"/>
      <w:bookmarkStart w:id="247" w:name="Tc_fhyX8GQF6EKuFn9JcBUW7g_4_5"/>
      <w:bookmarkStart w:id="248" w:name="Tc_A64LMPLm4k-yKYsIYpsjAA_4_2"/>
      <w:bookmarkStart w:id="249" w:name="Tc_UDL0wiXWKkCR5a0q3HX7pQ_4_0"/>
      <w:bookmarkStart w:id="250" w:name="Tc_D1k68So2AkerafVRx_kk6Q_3_11"/>
      <w:bookmarkStart w:id="251" w:name="Tc_uD9zFtGzxkS5j8tHC8V5Fw_3_8"/>
      <w:bookmarkStart w:id="252" w:name="Tc_cvzPNr2kMUygt3ZnOUnbRg_3_5"/>
      <w:bookmarkStart w:id="253" w:name="Tc_j2_V0670iEu216rXCiAoBQ_3_2"/>
      <w:bookmarkStart w:id="254" w:name="Tc_QrACO2qodku151QQ4hu8UA_2_8"/>
      <w:bookmarkStart w:id="255" w:name="Tc__QV_VYhN7EK3sJMbWg7Nrg_2_2"/>
      <w:bookmarkStart w:id="256" w:name="Tc_vW4-gDesyk-ukvS6lMSSDg_1_8"/>
      <w:bookmarkStart w:id="257" w:name="Tc_uAXMQIAVWUuZ2lsD1A_s7g_1_2"/>
      <w:bookmarkStart w:id="258" w:name="_573ee5ac_a9bc_4816_916d_45e1e2716977"/>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tbl>
      <w:tblPr>
        <w:tblW w:w="9593" w:type="dxa"/>
        <w:jc w:val="left"/>
        <w:tblInd w:w="0" w:type="dxa"/>
        <w:tblLayout w:type="fixed"/>
        <w:tblCellMar>
          <w:top w:w="0" w:type="dxa"/>
          <w:left w:w="0" w:type="dxa"/>
          <w:bottom w:w="0" w:type="dxa"/>
          <w:right w:w="0" w:type="dxa"/>
        </w:tblCellMar>
      </w:tblPr>
      <w:tblGrid>
        <w:gridCol w:w="4201"/>
        <w:gridCol w:w="326"/>
        <w:gridCol w:w="211"/>
        <w:gridCol w:w="781"/>
        <w:gridCol w:w="326"/>
        <w:gridCol w:w="211"/>
        <w:gridCol w:w="796"/>
        <w:gridCol w:w="326"/>
        <w:gridCol w:w="211"/>
        <w:gridCol w:w="781"/>
        <w:gridCol w:w="326"/>
        <w:gridCol w:w="211"/>
        <w:gridCol w:w="886"/>
      </w:tblGrid>
      <w:tr>
        <w:trPr/>
        <w:tc>
          <w:tcPr>
            <w:tcW w:w="42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23" name="Frame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495935" cy="175260"/>
                      <wp:effectExtent l="0" t="0" r="0" b="0"/>
                      <wp:wrapNone/>
                      <wp:docPr id="24" name="Frame2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07010" cy="175260"/>
                      <wp:effectExtent l="0" t="0" r="0" b="0"/>
                      <wp:wrapNone/>
                      <wp:docPr id="25" name="Frame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33985" cy="175260"/>
                      <wp:effectExtent l="0" t="0" r="0" b="0"/>
                      <wp:wrapNone/>
                      <wp:docPr id="26" name="Frame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505460" cy="175260"/>
                      <wp:effectExtent l="0" t="0" r="0" b="0"/>
                      <wp:wrapNone/>
                      <wp:docPr id="27" name="Frame2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28" name="Frame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33985" cy="175260"/>
                      <wp:effectExtent l="0" t="0" r="0" b="0"/>
                      <wp:wrapNone/>
                      <wp:docPr id="29" name="Frame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495935" cy="175260"/>
                      <wp:effectExtent l="0" t="0" r="0" b="0"/>
                      <wp:wrapNone/>
                      <wp:docPr id="30" name="Frame3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07010" cy="175260"/>
                      <wp:effectExtent l="0" t="0" r="0" b="0"/>
                      <wp:wrapNone/>
                      <wp:docPr id="31" name="Frame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3985" cy="175260"/>
                      <wp:effectExtent l="0" t="0" r="0" b="0"/>
                      <wp:wrapNone/>
                      <wp:docPr id="32" name="Frame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562610" cy="175260"/>
                      <wp:effectExtent l="0" t="0" r="0" b="0"/>
                      <wp:wrapNone/>
                      <wp:docPr id="33" name="Frame3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25"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Three-Months Ended</w:t>
            </w:r>
          </w:p>
        </w:tc>
        <w:tc>
          <w:tcPr>
            <w:tcW w:w="326" w:type="dxa"/>
            <w:tcBorders/>
            <w:vAlign w:val="center"/>
          </w:tcPr>
          <w:p>
            <w:pPr>
              <w:pStyle w:val="TableContents"/>
              <w:bidi w:val="0"/>
              <w:spacing w:before="0" w:after="0"/>
              <w:ind w:left="0" w:right="0" w:hanging="0"/>
              <w:jc w:val="center"/>
              <w:rPr/>
            </w:pPr>
            <w:r>
              <w:rPr/>
              <w:t>    </w:t>
            </w:r>
          </w:p>
        </w:tc>
        <w:tc>
          <w:tcPr>
            <w:tcW w:w="2415"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Six-Months Ended</w:t>
            </w:r>
          </w:p>
        </w:tc>
      </w:tr>
      <w:tr>
        <w:trPr/>
        <w:tc>
          <w:tcPr>
            <w:tcW w:w="42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26" w:type="dxa"/>
            <w:tcBorders/>
            <w:vAlign w:val="center"/>
          </w:tcPr>
          <w:p>
            <w:pPr>
              <w:pStyle w:val="TableContents"/>
              <w:bidi w:val="0"/>
              <w:spacing w:before="0" w:after="0"/>
              <w:ind w:left="0" w:right="0" w:hanging="0"/>
              <w:jc w:val="left"/>
              <w:rPr/>
            </w:pPr>
            <w:r>
              <w:rPr/>
              <w:t>​</w:t>
            </w:r>
          </w:p>
        </w:tc>
        <w:tc>
          <w:tcPr>
            <w:tcW w:w="24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42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left"/>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as reported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413,871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273,360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811,315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567,563</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foreign currency translation adjustment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(79,707)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(78,628)</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investments: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net unrealized gains (losses)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(5,164)</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losses on commodity derivatives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(80,812)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(83,792)</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Comprehensive income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406,057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192,548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814,663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483,771</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r>
        <w:rPr>
          <w:rFonts w:ascii="Times New Roman;Times;serif" w:hAnsi="Times New Roman;Times;serif"/>
          <w:sz w:val="22"/>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20" w:before="0" w:after="0"/>
        <w:ind w:left="0" w:right="0" w:hanging="0"/>
        <w:jc w:val="left"/>
        <w:rPr>
          <w:rFonts w:ascii="Times New Roman;Times;serif" w:hAnsi="Times New Roman;Times;serif"/>
          <w:b/>
          <w:sz w:val="20"/>
        </w:rPr>
      </w:pPr>
      <w:bookmarkStart w:id="259" w:name="_5a651e9a_82bf_4af5_aa81_6ebf46ebc49d"/>
      <w:bookmarkEnd w:id="259"/>
      <w:r>
        <w:rPr>
          <w:rFonts w:ascii="Times New Roman;Times;serif" w:hAnsi="Times New Roman;Times;serif"/>
          <w:b/>
          <w:sz w:val="20"/>
        </w:rPr>
        <w:t>MONSTER BEVERAGE CORPORATION AND SUBSIDIARIES</w:t>
      </w:r>
    </w:p>
    <w:p>
      <w:pPr>
        <w:pStyle w:val="TextBody"/>
        <w:bidi w:val="0"/>
        <w:spacing w:lineRule="atLeast" w:line="220" w:before="0" w:after="0"/>
        <w:ind w:left="0" w:right="0" w:hanging="0"/>
        <w:jc w:val="left"/>
        <w:rPr>
          <w:rFonts w:ascii="Times New Roman;Times;serif" w:hAnsi="Times New Roman;Times;serif"/>
          <w:b/>
          <w:sz w:val="20"/>
        </w:rPr>
      </w:pPr>
      <w:bookmarkStart w:id="260" w:name="STATEMENTSOFSTOCKHOLDERSEQUITY_603690"/>
      <w:bookmarkEnd w:id="260"/>
      <w:r>
        <w:rPr>
          <w:rFonts w:ascii="Times New Roman;Times;serif" w:hAnsi="Times New Roman;Times;serif"/>
          <w:b/>
          <w:sz w:val="20"/>
        </w:rPr>
        <w:t xml:space="preserve">CONDENSED CONSOLIDATED STATEMENTS OF STOCKHOLDERS’ EQUITY </w:t>
      </w:r>
    </w:p>
    <w:p>
      <w:pPr>
        <w:pStyle w:val="TextBody"/>
        <w:pBdr/>
        <w:bidi w:val="0"/>
        <w:spacing w:lineRule="atLeast" w:line="220" w:before="0" w:after="0"/>
        <w:ind w:left="0" w:right="0" w:hanging="0"/>
        <w:jc w:val="left"/>
        <w:rPr>
          <w:rFonts w:ascii="Times New Roman;Times;serif" w:hAnsi="Times New Roman;Times;serif"/>
          <w:b/>
          <w:sz w:val="20"/>
        </w:rPr>
      </w:pPr>
      <w:r>
        <w:rPr>
          <w:rFonts w:ascii="Times New Roman;Times;serif" w:hAnsi="Times New Roman;Times;serif"/>
          <w:b/>
          <w:sz w:val="20"/>
        </w:rPr>
        <w:t>FOR THE THREE- AND SIX-MONTHS ENDED JUNE 30, 2023 AND 2022</w:t>
      </w:r>
    </w:p>
    <w:p>
      <w:pPr>
        <w:pStyle w:val="TextBody"/>
        <w:pBdr>
          <w:bottom w:val="single" w:sz="12" w:space="1" w:color="000000"/>
        </w:pBdr>
        <w:bidi w:val="0"/>
        <w:spacing w:lineRule="atLeast" w:line="220" w:before="0" w:after="0"/>
        <w:ind w:left="0" w:right="0" w:hanging="0"/>
        <w:jc w:val="left"/>
        <w:rPr>
          <w:rFonts w:ascii="Times New Roman;Times;serif" w:hAnsi="Times New Roman;Times;serif"/>
          <w:b/>
          <w:sz w:val="20"/>
        </w:rPr>
      </w:pPr>
      <w:r>
        <w:rPr>
          <w:rFonts w:ascii="Times New Roman;Times;serif" w:hAnsi="Times New Roman;Times;serif"/>
          <w:b/>
          <w:sz w:val="20"/>
        </w:rPr>
        <w:t>(In Thousands) (Unaudited)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61" w:name="Tc_GztT_byZgECunwhWMOavCQ_25_21"/>
      <w:bookmarkStart w:id="262" w:name="Tc_R9SoboBr506nzhwSQKPJIQ_25_18"/>
      <w:bookmarkStart w:id="263" w:name="Tc_mfl0CSYKC0Cg22sParNAuw_25_13"/>
      <w:bookmarkStart w:id="264" w:name="Tc_lCrx17QhJEuTz0eKCRCaWA_25_10"/>
      <w:bookmarkStart w:id="265" w:name="Tc_UmP8Awq-aUuJ4P-sbNmJ_Q_25_7"/>
      <w:bookmarkStart w:id="266" w:name="Tc_uGfctoztQkGX5boZ4qRDtQ_25_4"/>
      <w:bookmarkStart w:id="267" w:name="Tc_feUcm7HD1UiKzWpoYgXmSg_25_0"/>
      <w:bookmarkStart w:id="268" w:name="Tc_nGvbo874l0WJQz1OogOyPw_23_19"/>
      <w:bookmarkStart w:id="269" w:name="Tc_2gUp9RQXrEmQZb_m1yreKw_23_16"/>
      <w:bookmarkStart w:id="270" w:name="Tc_osXwTmkvskCTa4z2i9sNgQ_23_14"/>
      <w:bookmarkStart w:id="271" w:name="Tc_AVutZFlUjECCJxYatgzOtA_23_8"/>
      <w:bookmarkStart w:id="272" w:name="Tc_7P-Sfqd7zEei7NjgLJNf9Q_23_5"/>
      <w:bookmarkStart w:id="273" w:name="Tc_pSWo8A4XSU6dKwY-x1jE0w_23_2"/>
      <w:bookmarkStart w:id="274" w:name="Tc_EB8yTB1azUygjY1CVo-NQA_23_0"/>
      <w:bookmarkStart w:id="275" w:name="Tc_NxGmkqqsTEW-NM8QrHMyng_22_19"/>
      <w:bookmarkStart w:id="276" w:name="Tc_iePJg6kkiEiPlgq6BGN1DQ_22_16"/>
      <w:bookmarkStart w:id="277" w:name="Tc_tCIH8Gp0eUCubiYlD0Q8eA_22_11"/>
      <w:bookmarkStart w:id="278" w:name="Tc_mejg_fSLW0yQyp-mrNwHsQ_22_8"/>
      <w:bookmarkStart w:id="279" w:name="Tc_6VMLTj5GUUaj3MH3vBAkjg_22_5"/>
      <w:bookmarkStart w:id="280" w:name="Tc_fZwCa6iwVkKzTSjJlArJ0w_22_2"/>
      <w:bookmarkStart w:id="281" w:name="Tc_EFPGj50U9k-XGNVfJtsHlA_22_0"/>
      <w:bookmarkStart w:id="282" w:name="Tc_8rdT4GdkpUOLMyL_W9SZ2g_21_19"/>
      <w:bookmarkStart w:id="283" w:name="Tc_Y0mbWT6jo0OTUHqEVU7YOQ_21_16"/>
      <w:bookmarkStart w:id="284" w:name="Tc_ZJ2utkF4cUe1n0V0fsWqxg_21_11"/>
      <w:bookmarkStart w:id="285" w:name="Tc_iAyqEUsrUU6y1r6pIwhJhw_21_8"/>
      <w:bookmarkStart w:id="286" w:name="Tc_qqP39uWSO02NffpQ0YUayQ_21_5"/>
      <w:bookmarkStart w:id="287" w:name="Tc_IaUSLWo5MEWYBYtzTqTrqQ_21_2"/>
      <w:bookmarkStart w:id="288" w:name="Tc_YDB3GwJCukCgA98cEPz4mg_21_0"/>
      <w:bookmarkStart w:id="289" w:name="Tc_58ltNt5QGUmvNa8qkh5E_Q_20_14"/>
      <w:bookmarkStart w:id="290" w:name="Tc_zRwuy6j2SkiRMjsrIfu38Q_20_11"/>
      <w:bookmarkStart w:id="291" w:name="Tc_i9RGmbBr1kmrxNEq1gSuxA_20_8"/>
      <w:bookmarkStart w:id="292" w:name="Tc_I3G4UgdMYUWgxpZIrLCL7g_20_5"/>
      <w:bookmarkStart w:id="293" w:name="Tc_94JLAgdUIkef_RL7HSBNig_20_2"/>
      <w:bookmarkStart w:id="294" w:name="Tc_GKQ5EsD40kCMc0R-McK6NQ_20_0"/>
      <w:bookmarkStart w:id="295" w:name="Tc_5mc6hRK4VEqdmhM1GLWUOw_19_19"/>
      <w:bookmarkStart w:id="296" w:name="Tc_cRPl9eguIkKSReKW5zcUTw_19_16"/>
      <w:bookmarkStart w:id="297" w:name="Tc_f1dwILfKd0OD17T2YWsoDA_19_11"/>
      <w:bookmarkStart w:id="298" w:name="Tc_oD0xs8TTr0aI-j4xeQS9Ng_19_8"/>
      <w:bookmarkStart w:id="299" w:name="Tc_pIH8RPHEN0yoLTKo9U8BEQ_19_5"/>
      <w:bookmarkStart w:id="300" w:name="Tc_sdIauZAQ6UqamEUIJf5c4Q_19_2"/>
      <w:bookmarkStart w:id="301" w:name="Tc_rehscgb210CVYV2Hx5VClA_19_0"/>
      <w:bookmarkStart w:id="302" w:name="Tc_Dz-RaOBmU0uF7dm3PHcu3g_18_19"/>
      <w:bookmarkStart w:id="303" w:name="Tc_kj8lliih_U2zRQEa2-rvJA_18_16"/>
      <w:bookmarkStart w:id="304" w:name="Tc_TY2hVBNt-0KbviAbmgAmYg_18_14"/>
      <w:bookmarkStart w:id="305" w:name="Tc_b12iNwwZh021OfLG75-LGA_18_11"/>
      <w:bookmarkStart w:id="306" w:name="Tc_WsTj1J2wMUG77a2FhN437g_18_0"/>
      <w:bookmarkStart w:id="307" w:name="Tc_D_ciE1OYTEyRLJQH4Ohw0w_17_19"/>
      <w:bookmarkStart w:id="308" w:name="Tc_FONlJoInR0eUdFAGpqeMkA_17_16"/>
      <w:bookmarkStart w:id="309" w:name="Tc_Jbil7eqlw0aK9h28EhMS0g_17_14"/>
      <w:bookmarkStart w:id="310" w:name="Tc_yN2SkdIXFEK7iwqR-U8Tew_17_11"/>
      <w:bookmarkStart w:id="311" w:name="Tc_FkO0lRFoXUeW-N25PNkHLw_17_5"/>
      <w:bookmarkStart w:id="312" w:name="Tc_ST4qBmcC9k6PB1Zi2b8xKQ_17_2"/>
      <w:bookmarkStart w:id="313" w:name="Tc_cat0qy4yr0iW6mIKmxVv-w_17_0"/>
      <w:bookmarkStart w:id="314" w:name="Tc_FaPaTy8lrEORbe09cpHBjg_15_21"/>
      <w:bookmarkStart w:id="315" w:name="Tc_Ad72ObboEECXDlvPmjd9ew_15_18"/>
      <w:bookmarkStart w:id="316" w:name="Tc_lsadsV_-u0yz6GfD1OQFhQ_15_13"/>
      <w:bookmarkStart w:id="317" w:name="Tc_fDCz1ACuQEmn2ROUxFYltw_15_10"/>
      <w:bookmarkStart w:id="318" w:name="Tc_CpqUXyCArEeTUy8kIr-36g_15_7"/>
      <w:bookmarkStart w:id="319" w:name="Tc_-E_YIWqi6kylgtKUIebhJQ_15_4"/>
      <w:bookmarkStart w:id="320" w:name="Tc_G3hxtsCR7UerQQw7YGZWEQ_15_0"/>
      <w:bookmarkStart w:id="321" w:name="Tc_-se4dcO-XkeuKXYPhbpGgg_13_19"/>
      <w:bookmarkStart w:id="322" w:name="Tc_wkJ5qJInsEqHPIPk3fikvA_13_16"/>
      <w:bookmarkStart w:id="323" w:name="Tc_5RtYrN3E5Ee9oOZ9CNKK8w_13_14"/>
      <w:bookmarkStart w:id="324" w:name="Tc_WniQis5ClkyrGNtG8EeboA_13_8"/>
      <w:bookmarkStart w:id="325" w:name="Tc_5oljM3XBLUyoPw43nEF0HQ_13_5"/>
      <w:bookmarkStart w:id="326" w:name="Tc__c2b98lWJEawgptO_71Taw_13_2"/>
      <w:bookmarkStart w:id="327" w:name="Tc_HLYIB9_Y20aKtaMOr303ng_13_0"/>
      <w:bookmarkStart w:id="328" w:name="Tc_1dd8RmD31UGZdG8DLHDwpw_12_19"/>
      <w:bookmarkStart w:id="329" w:name="Tc_lEP79HDeiEa40pFXDDOQgg_12_16"/>
      <w:bookmarkStart w:id="330" w:name="Tc_cRciDEvpZ0-fI78U5-6Dwg_12_11"/>
      <w:bookmarkStart w:id="331" w:name="Tc_zfiNFBkyV0WpG9KS64HqTQ_12_8"/>
      <w:bookmarkStart w:id="332" w:name="Tc_mSv4fF0rz0SwJFC53UT1vQ_12_5"/>
      <w:bookmarkStart w:id="333" w:name="Tc_wXj7WOak1EmPqazwgVey3Q_12_2"/>
      <w:bookmarkStart w:id="334" w:name="Tc_CX9jMzRaWkeSVmzHYHIZmQ_12_0"/>
      <w:bookmarkStart w:id="335" w:name="Tc_Y-rCaekF4Ui_GK5mg7O0rg_11_22"/>
      <w:bookmarkStart w:id="336" w:name="Tc_8QDU2yD7sUa5-O3yvR8jMw_11_14"/>
      <w:bookmarkStart w:id="337" w:name="Tc_WtEm0-kJ7Euqq-FrboUnrA_11_0"/>
      <w:bookmarkStart w:id="338" w:name="Tc_Q5sLmQWtYU2CFFBfCLPOMQ_10_14"/>
      <w:bookmarkStart w:id="339" w:name="Tc_vWa_A3sDlkG4HpP0UmtwhQ_10_11"/>
      <w:bookmarkStart w:id="340" w:name="Tc_e-BGrhENJE274L6WzpOh8A_10_8"/>
      <w:bookmarkStart w:id="341" w:name="Tc_Ux40V218B0-W6pu1RTOgNA_10_5"/>
      <w:bookmarkStart w:id="342" w:name="Tc_gByKqoYwN0CPEB2mQCK8Ww_10_2"/>
      <w:bookmarkStart w:id="343" w:name="Tc_tRxiP4ivQUCK8zYwSOiqLQ_10_0"/>
      <w:bookmarkStart w:id="344" w:name="Tc_tQixZdjQWESFivGYF2GrVQ_9_19"/>
      <w:bookmarkStart w:id="345" w:name="Tc_OnWATQyX3EyUMTw3FeU8Ew_9_16"/>
      <w:bookmarkStart w:id="346" w:name="Tc_PxyF5c9ZCkSbTnEtEiPXVA_9_11"/>
      <w:bookmarkStart w:id="347" w:name="Tc_DB5te4YzP0u2hoLBv6VYiw_9_8"/>
      <w:bookmarkStart w:id="348" w:name="Tc_JoMu6skFgU-9O-YzXOczAA_9_5"/>
      <w:bookmarkStart w:id="349" w:name="Tc_rsYRtG6LcES_4DARQuN2-A_9_2"/>
      <w:bookmarkStart w:id="350" w:name="Tc__g8SuvjEN0ifgFdFylI4BQ_9_0"/>
      <w:bookmarkStart w:id="351" w:name="Tc_YHeTYIIQjE6hwzoq_uV91w_8_19"/>
      <w:bookmarkStart w:id="352" w:name="Tc_r-4cQKscEkyxmPBsJYGxNw_8_16"/>
      <w:bookmarkStart w:id="353" w:name="Tc_sewIAxiiAkqutfGxpaEWSA_8_14"/>
      <w:bookmarkStart w:id="354" w:name="Tc_L5ujw8OwYUWMblsZCKXWSw_8_11"/>
      <w:bookmarkStart w:id="355" w:name="Tc_WJ1Svuq2GUOdTAWcXw5A2Q_8_0"/>
      <w:bookmarkStart w:id="356" w:name="Tc_VaZSZWE5yUiZY--dh6HylA_7_19"/>
      <w:bookmarkStart w:id="357" w:name="Tc_Hu5FUTmLVkCkzmmP6sS_vw_7_16"/>
      <w:bookmarkStart w:id="358" w:name="Tc_gIuejXcbdkOxlrQ9brn9nA_7_14"/>
      <w:bookmarkStart w:id="359" w:name="Tc_7o9zDYF720SFdXje6MNEWw_7_11"/>
      <w:bookmarkStart w:id="360" w:name="Tc_Yvwm7dXG2EGpfb_4629qsA_7_5"/>
      <w:bookmarkStart w:id="361" w:name="Tc_CLDGD2Rky0KR8GdmrxJRNA_7_2"/>
      <w:bookmarkStart w:id="362" w:name="Tc_ObBgixROwkSbCY3uQDcaLg_7_0"/>
      <w:bookmarkStart w:id="363" w:name="Tc_HWoVUx23Y0WpWL5VVBPjrA_5_21"/>
      <w:bookmarkStart w:id="364" w:name="Tc_yLfS4_7odESN_JkH4suotw_5_18"/>
      <w:bookmarkStart w:id="365" w:name="Tc_kTzxEViokUqxOb9NUmIoxw_5_13"/>
      <w:bookmarkStart w:id="366" w:name="Tc__ZBHF8jhW0uq1Ri9baddPQ_5_10"/>
      <w:bookmarkStart w:id="367" w:name="Tc_EHA-S7HIAkypVT1Xy30Rew_5_7"/>
      <w:bookmarkStart w:id="368" w:name="Tc_Dio-M_LIakmWCtrNp5crJQ_5_4"/>
      <w:bookmarkStart w:id="369" w:name="Tc_eK6Q9Lqx9EGfXoFs1qnVAw_5_0"/>
      <w:bookmarkStart w:id="370" w:name="Tc_K4OMQs_75kydqc4CqgkG-w_4_21"/>
      <w:bookmarkStart w:id="371" w:name="Tc_LZuGU7zH90GpCd8ZXLRCqw_4_18"/>
      <w:bookmarkStart w:id="372" w:name="Tc_qXqor7jEzEm_z_UJeS-Fwg_4_16"/>
      <w:bookmarkStart w:id="373" w:name="Tc_c7_FzIktjkK-L5Mj06SXIg_4_13"/>
      <w:bookmarkStart w:id="374" w:name="Tc_D6wrHX9cTU2DZsU_rZoCww_4_10"/>
      <w:bookmarkStart w:id="375" w:name="Tc_hRrnAXQDOUmn4-htjIzXAQ_4_7"/>
      <w:bookmarkStart w:id="376" w:name="Tc_5ur2-_vPHUiQL75VVjbgKA_4_4"/>
      <w:bookmarkStart w:id="377" w:name="Tc_w15V83WdjUiLpcurNyzp1w_4_2"/>
      <w:bookmarkStart w:id="378" w:name="Tc_voMi5hj560qHPDkU_3Ac9w_3_21"/>
      <w:bookmarkStart w:id="379" w:name="Tc_zNheKTBJXkC3TyWXxnZt5Q_3_16"/>
      <w:bookmarkStart w:id="380" w:name="Tc_s_uz2Wwvs0SqKhub6Dua_Q_3_13"/>
      <w:bookmarkStart w:id="381" w:name="Tc_eI5HzfmwKUefVohfh5ef7Q_3_10"/>
      <w:bookmarkStart w:id="382" w:name="Tc_bvYQUNuYdUWBcCcvI9x-1w_3_7"/>
      <w:bookmarkStart w:id="383" w:name="Tc_fS9eM9BbrUOhkRCd0ohIvg_3_2"/>
      <w:bookmarkStart w:id="384" w:name="Tc_QgyFlXYsPU2iIaxMmXeAIA_2_21"/>
      <w:bookmarkStart w:id="385" w:name="Tc_78-3JAm9cUC_5-fgbtQIXA_2_13"/>
      <w:bookmarkStart w:id="386" w:name="_7a4560e4_7e00_4866_9e2e_3d3fd636dbde"/>
      <w:bookmarkStart w:id="387" w:name="Tc_GztT_byZgECunwhWMOavCQ_25_21"/>
      <w:bookmarkStart w:id="388" w:name="Tc_R9SoboBr506nzhwSQKPJIQ_25_18"/>
      <w:bookmarkStart w:id="389" w:name="Tc_mfl0CSYKC0Cg22sParNAuw_25_13"/>
      <w:bookmarkStart w:id="390" w:name="Tc_lCrx17QhJEuTz0eKCRCaWA_25_10"/>
      <w:bookmarkStart w:id="391" w:name="Tc_UmP8Awq-aUuJ4P-sbNmJ_Q_25_7"/>
      <w:bookmarkStart w:id="392" w:name="Tc_uGfctoztQkGX5boZ4qRDtQ_25_4"/>
      <w:bookmarkStart w:id="393" w:name="Tc_feUcm7HD1UiKzWpoYgXmSg_25_0"/>
      <w:bookmarkStart w:id="394" w:name="Tc_nGvbo874l0WJQz1OogOyPw_23_19"/>
      <w:bookmarkStart w:id="395" w:name="Tc_2gUp9RQXrEmQZb_m1yreKw_23_16"/>
      <w:bookmarkStart w:id="396" w:name="Tc_osXwTmkvskCTa4z2i9sNgQ_23_14"/>
      <w:bookmarkStart w:id="397" w:name="Tc_AVutZFlUjECCJxYatgzOtA_23_8"/>
      <w:bookmarkStart w:id="398" w:name="Tc_7P-Sfqd7zEei7NjgLJNf9Q_23_5"/>
      <w:bookmarkStart w:id="399" w:name="Tc_pSWo8A4XSU6dKwY-x1jE0w_23_2"/>
      <w:bookmarkStart w:id="400" w:name="Tc_EB8yTB1azUygjY1CVo-NQA_23_0"/>
      <w:bookmarkStart w:id="401" w:name="Tc_NxGmkqqsTEW-NM8QrHMyng_22_19"/>
      <w:bookmarkStart w:id="402" w:name="Tc_iePJg6kkiEiPlgq6BGN1DQ_22_16"/>
      <w:bookmarkStart w:id="403" w:name="Tc_tCIH8Gp0eUCubiYlD0Q8eA_22_11"/>
      <w:bookmarkStart w:id="404" w:name="Tc_mejg_fSLW0yQyp-mrNwHsQ_22_8"/>
      <w:bookmarkStart w:id="405" w:name="Tc_6VMLTj5GUUaj3MH3vBAkjg_22_5"/>
      <w:bookmarkStart w:id="406" w:name="Tc_fZwCa6iwVkKzTSjJlArJ0w_22_2"/>
      <w:bookmarkStart w:id="407" w:name="Tc_EFPGj50U9k-XGNVfJtsHlA_22_0"/>
      <w:bookmarkStart w:id="408" w:name="Tc_8rdT4GdkpUOLMyL_W9SZ2g_21_19"/>
      <w:bookmarkStart w:id="409" w:name="Tc_Y0mbWT6jo0OTUHqEVU7YOQ_21_16"/>
      <w:bookmarkStart w:id="410" w:name="Tc_ZJ2utkF4cUe1n0V0fsWqxg_21_11"/>
      <w:bookmarkStart w:id="411" w:name="Tc_iAyqEUsrUU6y1r6pIwhJhw_21_8"/>
      <w:bookmarkStart w:id="412" w:name="Tc_qqP39uWSO02NffpQ0YUayQ_21_5"/>
      <w:bookmarkStart w:id="413" w:name="Tc_IaUSLWo5MEWYBYtzTqTrqQ_21_2"/>
      <w:bookmarkStart w:id="414" w:name="Tc_YDB3GwJCukCgA98cEPz4mg_21_0"/>
      <w:bookmarkStart w:id="415" w:name="Tc_58ltNt5QGUmvNa8qkh5E_Q_20_14"/>
      <w:bookmarkStart w:id="416" w:name="Tc_zRwuy6j2SkiRMjsrIfu38Q_20_11"/>
      <w:bookmarkStart w:id="417" w:name="Tc_i9RGmbBr1kmrxNEq1gSuxA_20_8"/>
      <w:bookmarkStart w:id="418" w:name="Tc_I3G4UgdMYUWgxpZIrLCL7g_20_5"/>
      <w:bookmarkStart w:id="419" w:name="Tc_94JLAgdUIkef_RL7HSBNig_20_2"/>
      <w:bookmarkStart w:id="420" w:name="Tc_GKQ5EsD40kCMc0R-McK6NQ_20_0"/>
      <w:bookmarkStart w:id="421" w:name="Tc_5mc6hRK4VEqdmhM1GLWUOw_19_19"/>
      <w:bookmarkStart w:id="422" w:name="Tc_cRPl9eguIkKSReKW5zcUTw_19_16"/>
      <w:bookmarkStart w:id="423" w:name="Tc_f1dwILfKd0OD17T2YWsoDA_19_11"/>
      <w:bookmarkStart w:id="424" w:name="Tc_oD0xs8TTr0aI-j4xeQS9Ng_19_8"/>
      <w:bookmarkStart w:id="425" w:name="Tc_pIH8RPHEN0yoLTKo9U8BEQ_19_5"/>
      <w:bookmarkStart w:id="426" w:name="Tc_sdIauZAQ6UqamEUIJf5c4Q_19_2"/>
      <w:bookmarkStart w:id="427" w:name="Tc_rehscgb210CVYV2Hx5VClA_19_0"/>
      <w:bookmarkStart w:id="428" w:name="Tc_Dz-RaOBmU0uF7dm3PHcu3g_18_19"/>
      <w:bookmarkStart w:id="429" w:name="Tc_kj8lliih_U2zRQEa2-rvJA_18_16"/>
      <w:bookmarkStart w:id="430" w:name="Tc_TY2hVBNt-0KbviAbmgAmYg_18_14"/>
      <w:bookmarkStart w:id="431" w:name="Tc_b12iNwwZh021OfLG75-LGA_18_11"/>
      <w:bookmarkStart w:id="432" w:name="Tc_WsTj1J2wMUG77a2FhN437g_18_0"/>
      <w:bookmarkStart w:id="433" w:name="Tc_D_ciE1OYTEyRLJQH4Ohw0w_17_19"/>
      <w:bookmarkStart w:id="434" w:name="Tc_FONlJoInR0eUdFAGpqeMkA_17_16"/>
      <w:bookmarkStart w:id="435" w:name="Tc_Jbil7eqlw0aK9h28EhMS0g_17_14"/>
      <w:bookmarkStart w:id="436" w:name="Tc_yN2SkdIXFEK7iwqR-U8Tew_17_11"/>
      <w:bookmarkStart w:id="437" w:name="Tc_FkO0lRFoXUeW-N25PNkHLw_17_5"/>
      <w:bookmarkStart w:id="438" w:name="Tc_ST4qBmcC9k6PB1Zi2b8xKQ_17_2"/>
      <w:bookmarkStart w:id="439" w:name="Tc_cat0qy4yr0iW6mIKmxVv-w_17_0"/>
      <w:bookmarkStart w:id="440" w:name="Tc_FaPaTy8lrEORbe09cpHBjg_15_21"/>
      <w:bookmarkStart w:id="441" w:name="Tc_Ad72ObboEECXDlvPmjd9ew_15_18"/>
      <w:bookmarkStart w:id="442" w:name="Tc_lsadsV_-u0yz6GfD1OQFhQ_15_13"/>
      <w:bookmarkStart w:id="443" w:name="Tc_fDCz1ACuQEmn2ROUxFYltw_15_10"/>
      <w:bookmarkStart w:id="444" w:name="Tc_CpqUXyCArEeTUy8kIr-36g_15_7"/>
      <w:bookmarkStart w:id="445" w:name="Tc_-E_YIWqi6kylgtKUIebhJQ_15_4"/>
      <w:bookmarkStart w:id="446" w:name="Tc_G3hxtsCR7UerQQw7YGZWEQ_15_0"/>
      <w:bookmarkStart w:id="447" w:name="Tc_-se4dcO-XkeuKXYPhbpGgg_13_19"/>
      <w:bookmarkStart w:id="448" w:name="Tc_wkJ5qJInsEqHPIPk3fikvA_13_16"/>
      <w:bookmarkStart w:id="449" w:name="Tc_5RtYrN3E5Ee9oOZ9CNKK8w_13_14"/>
      <w:bookmarkStart w:id="450" w:name="Tc_WniQis5ClkyrGNtG8EeboA_13_8"/>
      <w:bookmarkStart w:id="451" w:name="Tc_5oljM3XBLUyoPw43nEF0HQ_13_5"/>
      <w:bookmarkStart w:id="452" w:name="Tc__c2b98lWJEawgptO_71Taw_13_2"/>
      <w:bookmarkStart w:id="453" w:name="Tc_HLYIB9_Y20aKtaMOr303ng_13_0"/>
      <w:bookmarkStart w:id="454" w:name="Tc_1dd8RmD31UGZdG8DLHDwpw_12_19"/>
      <w:bookmarkStart w:id="455" w:name="Tc_lEP79HDeiEa40pFXDDOQgg_12_16"/>
      <w:bookmarkStart w:id="456" w:name="Tc_cRciDEvpZ0-fI78U5-6Dwg_12_11"/>
      <w:bookmarkStart w:id="457" w:name="Tc_zfiNFBkyV0WpG9KS64HqTQ_12_8"/>
      <w:bookmarkStart w:id="458" w:name="Tc_mSv4fF0rz0SwJFC53UT1vQ_12_5"/>
      <w:bookmarkStart w:id="459" w:name="Tc_wXj7WOak1EmPqazwgVey3Q_12_2"/>
      <w:bookmarkStart w:id="460" w:name="Tc_CX9jMzRaWkeSVmzHYHIZmQ_12_0"/>
      <w:bookmarkStart w:id="461" w:name="Tc_Y-rCaekF4Ui_GK5mg7O0rg_11_22"/>
      <w:bookmarkStart w:id="462" w:name="Tc_8QDU2yD7sUa5-O3yvR8jMw_11_14"/>
      <w:bookmarkStart w:id="463" w:name="Tc_WtEm0-kJ7Euqq-FrboUnrA_11_0"/>
      <w:bookmarkStart w:id="464" w:name="Tc_Q5sLmQWtYU2CFFBfCLPOMQ_10_14"/>
      <w:bookmarkStart w:id="465" w:name="Tc_vWa_A3sDlkG4HpP0UmtwhQ_10_11"/>
      <w:bookmarkStart w:id="466" w:name="Tc_e-BGrhENJE274L6WzpOh8A_10_8"/>
      <w:bookmarkStart w:id="467" w:name="Tc_Ux40V218B0-W6pu1RTOgNA_10_5"/>
      <w:bookmarkStart w:id="468" w:name="Tc_gByKqoYwN0CPEB2mQCK8Ww_10_2"/>
      <w:bookmarkStart w:id="469" w:name="Tc_tRxiP4ivQUCK8zYwSOiqLQ_10_0"/>
      <w:bookmarkStart w:id="470" w:name="Tc_tQixZdjQWESFivGYF2GrVQ_9_19"/>
      <w:bookmarkStart w:id="471" w:name="Tc_OnWATQyX3EyUMTw3FeU8Ew_9_16"/>
      <w:bookmarkStart w:id="472" w:name="Tc_PxyF5c9ZCkSbTnEtEiPXVA_9_11"/>
      <w:bookmarkStart w:id="473" w:name="Tc_DB5te4YzP0u2hoLBv6VYiw_9_8"/>
      <w:bookmarkStart w:id="474" w:name="Tc_JoMu6skFgU-9O-YzXOczAA_9_5"/>
      <w:bookmarkStart w:id="475" w:name="Tc_rsYRtG6LcES_4DARQuN2-A_9_2"/>
      <w:bookmarkStart w:id="476" w:name="Tc__g8SuvjEN0ifgFdFylI4BQ_9_0"/>
      <w:bookmarkStart w:id="477" w:name="Tc_YHeTYIIQjE6hwzoq_uV91w_8_19"/>
      <w:bookmarkStart w:id="478" w:name="Tc_r-4cQKscEkyxmPBsJYGxNw_8_16"/>
      <w:bookmarkStart w:id="479" w:name="Tc_sewIAxiiAkqutfGxpaEWSA_8_14"/>
      <w:bookmarkStart w:id="480" w:name="Tc_L5ujw8OwYUWMblsZCKXWSw_8_11"/>
      <w:bookmarkStart w:id="481" w:name="Tc_WJ1Svuq2GUOdTAWcXw5A2Q_8_0"/>
      <w:bookmarkStart w:id="482" w:name="Tc_VaZSZWE5yUiZY--dh6HylA_7_19"/>
      <w:bookmarkStart w:id="483" w:name="Tc_Hu5FUTmLVkCkzmmP6sS_vw_7_16"/>
      <w:bookmarkStart w:id="484" w:name="Tc_gIuejXcbdkOxlrQ9brn9nA_7_14"/>
      <w:bookmarkStart w:id="485" w:name="Tc_7o9zDYF720SFdXje6MNEWw_7_11"/>
      <w:bookmarkStart w:id="486" w:name="Tc_Yvwm7dXG2EGpfb_4629qsA_7_5"/>
      <w:bookmarkStart w:id="487" w:name="Tc_CLDGD2Rky0KR8GdmrxJRNA_7_2"/>
      <w:bookmarkStart w:id="488" w:name="Tc_ObBgixROwkSbCY3uQDcaLg_7_0"/>
      <w:bookmarkStart w:id="489" w:name="Tc_HWoVUx23Y0WpWL5VVBPjrA_5_21"/>
      <w:bookmarkStart w:id="490" w:name="Tc_yLfS4_7odESN_JkH4suotw_5_18"/>
      <w:bookmarkStart w:id="491" w:name="Tc_kTzxEViokUqxOb9NUmIoxw_5_13"/>
      <w:bookmarkStart w:id="492" w:name="Tc__ZBHF8jhW0uq1Ri9baddPQ_5_10"/>
      <w:bookmarkStart w:id="493" w:name="Tc_EHA-S7HIAkypVT1Xy30Rew_5_7"/>
      <w:bookmarkStart w:id="494" w:name="Tc_Dio-M_LIakmWCtrNp5crJQ_5_4"/>
      <w:bookmarkStart w:id="495" w:name="Tc_eK6Q9Lqx9EGfXoFs1qnVAw_5_0"/>
      <w:bookmarkStart w:id="496" w:name="Tc_K4OMQs_75kydqc4CqgkG-w_4_21"/>
      <w:bookmarkStart w:id="497" w:name="Tc_LZuGU7zH90GpCd8ZXLRCqw_4_18"/>
      <w:bookmarkStart w:id="498" w:name="Tc_qXqor7jEzEm_z_UJeS-Fwg_4_16"/>
      <w:bookmarkStart w:id="499" w:name="Tc_c7_FzIktjkK-L5Mj06SXIg_4_13"/>
      <w:bookmarkStart w:id="500" w:name="Tc_D6wrHX9cTU2DZsU_rZoCww_4_10"/>
      <w:bookmarkStart w:id="501" w:name="Tc_hRrnAXQDOUmn4-htjIzXAQ_4_7"/>
      <w:bookmarkStart w:id="502" w:name="Tc_5ur2-_vPHUiQL75VVjbgKA_4_4"/>
      <w:bookmarkStart w:id="503" w:name="Tc_w15V83WdjUiLpcurNyzp1w_4_2"/>
      <w:bookmarkStart w:id="504" w:name="Tc_voMi5hj560qHPDkU_3Ac9w_3_21"/>
      <w:bookmarkStart w:id="505" w:name="Tc_zNheKTBJXkC3TyWXxnZt5Q_3_16"/>
      <w:bookmarkStart w:id="506" w:name="Tc_s_uz2Wwvs0SqKhub6Dua_Q_3_13"/>
      <w:bookmarkStart w:id="507" w:name="Tc_eI5HzfmwKUefVohfh5ef7Q_3_10"/>
      <w:bookmarkStart w:id="508" w:name="Tc_bvYQUNuYdUWBcCcvI9x-1w_3_7"/>
      <w:bookmarkStart w:id="509" w:name="Tc_fS9eM9BbrUOhkRCd0ohIvg_3_2"/>
      <w:bookmarkStart w:id="510" w:name="Tc_QgyFlXYsPU2iIaxMmXeAIA_2_21"/>
      <w:bookmarkStart w:id="511" w:name="Tc_78-3JAm9cUC_5-fgbtQIXA_2_13"/>
      <w:bookmarkStart w:id="512" w:name="_7a4560e4_7e00_4866_9e2e_3d3fd636dbde"/>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p>
    <w:tbl>
      <w:tblPr>
        <w:tblW w:w="11936" w:type="dxa"/>
        <w:jc w:val="left"/>
        <w:tblInd w:w="0" w:type="dxa"/>
        <w:tblLayout w:type="fixed"/>
        <w:tblCellMar>
          <w:top w:w="0" w:type="dxa"/>
          <w:left w:w="0" w:type="dxa"/>
          <w:bottom w:w="0" w:type="dxa"/>
          <w:right w:w="0" w:type="dxa"/>
        </w:tblCellMar>
      </w:tblPr>
      <w:tblGrid>
        <w:gridCol w:w="1321"/>
        <w:gridCol w:w="326"/>
        <w:gridCol w:w="826"/>
        <w:gridCol w:w="326"/>
        <w:gridCol w:w="196"/>
        <w:gridCol w:w="511"/>
        <w:gridCol w:w="326"/>
        <w:gridCol w:w="233"/>
        <w:gridCol w:w="983"/>
        <w:gridCol w:w="326"/>
        <w:gridCol w:w="196"/>
        <w:gridCol w:w="886"/>
        <w:gridCol w:w="326"/>
        <w:gridCol w:w="316"/>
        <w:gridCol w:w="900"/>
        <w:gridCol w:w="326"/>
        <w:gridCol w:w="751"/>
        <w:gridCol w:w="326"/>
        <w:gridCol w:w="196"/>
        <w:gridCol w:w="886"/>
        <w:gridCol w:w="326"/>
        <w:gridCol w:w="196"/>
        <w:gridCol w:w="931"/>
      </w:tblGrid>
      <w:tr>
        <w:trPr/>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838835" cy="175260"/>
                      <wp:effectExtent l="0" t="0" r="0" b="0"/>
                      <wp:wrapNone/>
                      <wp:docPr id="34" name="Frame34"/>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260"/>
                      <wp:effectExtent l="0" t="0" r="0" b="0"/>
                      <wp:wrapNone/>
                      <wp:docPr id="35" name="Frame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524510" cy="175260"/>
                      <wp:effectExtent l="0" t="0" r="0" b="0"/>
                      <wp:wrapNone/>
                      <wp:docPr id="36" name="Frame3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7010" cy="175260"/>
                      <wp:effectExtent l="0" t="0" r="0" b="0"/>
                      <wp:wrapNone/>
                      <wp:docPr id="37" name="Frame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24460" cy="175260"/>
                      <wp:effectExtent l="0" t="0" r="0" b="0"/>
                      <wp:wrapNone/>
                      <wp:docPr id="38" name="Frame3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324485" cy="175260"/>
                      <wp:effectExtent l="0" t="0" r="0" b="0"/>
                      <wp:wrapNone/>
                      <wp:docPr id="39" name="Frame39"/>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07010" cy="175260"/>
                      <wp:effectExtent l="0" t="0" r="0" b="0"/>
                      <wp:wrapNone/>
                      <wp:docPr id="40"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47955" cy="175260"/>
                      <wp:effectExtent l="0" t="0" r="0" b="0"/>
                      <wp:wrapNone/>
                      <wp:docPr id="41" name="Frame41"/>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24205" cy="175260"/>
                      <wp:effectExtent l="0" t="0" r="0" b="0"/>
                      <wp:wrapNone/>
                      <wp:docPr id="42" name="Frame42"/>
                      <a:graphic xmlns:a="http://schemas.openxmlformats.org/drawingml/2006/main">
                        <a:graphicData uri="http://schemas.microsoft.com/office/word/2010/wordprocessingShape">
                          <wps:wsp>
                            <wps:cNvSpPr txBox="1"/>
                            <wps:spPr>
                              <a:xfrm>
                                <a:off x="0" y="0"/>
                                <a:ext cx="624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7010" cy="175260"/>
                      <wp:effectExtent l="0" t="0" r="0" b="0"/>
                      <wp:wrapNone/>
                      <wp:docPr id="43" name="Frame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24460" cy="175260"/>
                      <wp:effectExtent l="0" t="0" r="0" b="0"/>
                      <wp:wrapNone/>
                      <wp:docPr id="44" name="Frame4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562610" cy="175260"/>
                      <wp:effectExtent l="0" t="0" r="0" b="0"/>
                      <wp:wrapNone/>
                      <wp:docPr id="45" name="Frame4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7010" cy="175260"/>
                      <wp:effectExtent l="0" t="0" r="0" b="0"/>
                      <wp:wrapNone/>
                      <wp:docPr id="46" name="Frame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0660" cy="175260"/>
                      <wp:effectExtent l="0" t="0" r="0" b="0"/>
                      <wp:wrapNone/>
                      <wp:docPr id="47" name="Frame4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571500" cy="175260"/>
                      <wp:effectExtent l="0" t="0" r="0" b="0"/>
                      <wp:wrapNone/>
                      <wp:docPr id="48" name="Frame48"/>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9" name="Frame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476885" cy="175260"/>
                      <wp:effectExtent l="0" t="0" r="0" b="0"/>
                      <wp:wrapNone/>
                      <wp:docPr id="50" name="Frame50"/>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51" name="Frame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24460" cy="175260"/>
                      <wp:effectExtent l="0" t="0" r="0" b="0"/>
                      <wp:wrapNone/>
                      <wp:docPr id="52" name="Frame5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562610" cy="175260"/>
                      <wp:effectExtent l="0" t="0" r="0" b="0"/>
                      <wp:wrapNone/>
                      <wp:docPr id="53" name="Frame5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54" name="Frame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24460" cy="175260"/>
                      <wp:effectExtent l="0" t="0" r="0" b="0"/>
                      <wp:wrapNone/>
                      <wp:docPr id="55" name="Frame5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591185" cy="175260"/>
                      <wp:effectExtent l="0" t="0" r="0" b="0"/>
                      <wp:wrapNone/>
                      <wp:docPr id="56" name="Frame5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center"/>
              <w:rPr/>
            </w:pPr>
            <w:r>
              <w:rPr/>
              <w:t>​</w:t>
            </w:r>
          </w:p>
        </w:tc>
        <w:tc>
          <w:tcPr>
            <w:tcW w:w="90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Other</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5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10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left"/>
              <w:rPr/>
            </w:pPr>
            <w:r>
              <w:rPr/>
              <w:t>​</w:t>
            </w:r>
          </w:p>
        </w:tc>
        <w:tc>
          <w:tcPr>
            <w:tcW w:w="215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 stock</w:t>
            </w:r>
          </w:p>
        </w:tc>
        <w:tc>
          <w:tcPr>
            <w:tcW w:w="326" w:type="dxa"/>
            <w:tcBorders/>
            <w:vAlign w:val="center"/>
          </w:tcPr>
          <w:p>
            <w:pPr>
              <w:pStyle w:val="TableContents"/>
              <w:bidi w:val="0"/>
              <w:spacing w:before="0" w:after="0"/>
              <w:ind w:left="0" w:right="0" w:hanging="0"/>
              <w:jc w:val="left"/>
              <w:rPr/>
            </w:pPr>
            <w:r>
              <w:rPr/>
              <w:t>​</w:t>
            </w:r>
          </w:p>
        </w:tc>
        <w:tc>
          <w:tcPr>
            <w:tcW w:w="11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326" w:type="dxa"/>
            <w:tcBorders/>
            <w:vAlign w:val="center"/>
          </w:tcPr>
          <w:p>
            <w:pPr>
              <w:pStyle w:val="TableContents"/>
              <w:bidi w:val="0"/>
              <w:spacing w:before="0" w:after="0"/>
              <w:ind w:left="0" w:right="0" w:hanging="0"/>
              <w:jc w:val="left"/>
              <w:rPr/>
            </w:pPr>
            <w:r>
              <w:rPr/>
              <w:t>    </w:t>
            </w:r>
          </w:p>
        </w:tc>
        <w:tc>
          <w:tcPr>
            <w:tcW w:w="10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 Income</w:t>
            </w:r>
          </w:p>
        </w:tc>
        <w:tc>
          <w:tcPr>
            <w:tcW w:w="326" w:type="dxa"/>
            <w:tcBorders/>
            <w:vAlign w:val="center"/>
          </w:tcPr>
          <w:p>
            <w:pPr>
              <w:pStyle w:val="TableContents"/>
              <w:bidi w:val="0"/>
              <w:spacing w:before="0" w:after="0"/>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10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1,283,688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6,418</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4,776,804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9,001,173</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(159,073)</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(239,088)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(6,600,281)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7,025,041</w: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15,743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15,743</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options/awards</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3,704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98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36,329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36,348</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Unrealized gain (loss), net on available-for-sale securities</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3,181</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3,181</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Repurchase of common stock</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(1,688)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(90,378)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(90,378)</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Retirement of treasury stock</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(170,000)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(850)</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(4,692,425)</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170,000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4,692,850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7,981</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7,981</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397,444</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397,444</w: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March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1,117,392</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5,587</w:t>
            </w:r>
          </w:p>
        </w:tc>
        <w:tc>
          <w:tcPr>
            <w:tcW w:w="326" w:type="dxa"/>
            <w:tcBorders/>
            <w:shd w:fill="CCEEFF" w:val="clear"/>
            <w:vAlign w:val="center"/>
          </w:tcPr>
          <w:p>
            <w:pPr>
              <w:pStyle w:val="TableContents"/>
              <w:bidi w:val="0"/>
              <w:spacing w:before="0" w:after="0"/>
              <w:ind w:left="0" w:right="0" w:hanging="0"/>
              <w:jc w:val="left"/>
              <w:rPr/>
            </w:pPr>
            <w:r>
              <w:rPr/>
              <w:t> </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4,829,301</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4,706,192</w:t>
            </w:r>
          </w:p>
        </w:tc>
        <w:tc>
          <w:tcPr>
            <w:tcW w:w="326" w:type="dxa"/>
            <w:tcBorders/>
            <w:shd w:fill="CCEEFF" w:val="clear"/>
            <w:vAlign w:val="center"/>
          </w:tcPr>
          <w:p>
            <w:pPr>
              <w:pStyle w:val="TableContents"/>
              <w:bidi w:val="0"/>
              <w:spacing w:before="0" w:after="0"/>
              <w:ind w:left="0" w:right="0" w:hanging="0"/>
              <w:jc w:val="left"/>
              <w:rPr/>
            </w:pPr>
            <w:r>
              <w:rPr/>
              <w:t> </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(147,911)</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(70,776)</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(1,997,809)</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7,395,360</w: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17,176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17,176</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options/awards</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23,314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23,318</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Unrealized gain (loss), net on available-for-sale securities</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9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(773)</w:t>
            </w:r>
          </w:p>
        </w:tc>
        <w:tc>
          <w:tcPr>
            <w:tcW w:w="32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(773)</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Repurchase of common stock</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(447)</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(5,775)</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(5,775)</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losses on commodity derivatives</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(1,266)</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(1,266)</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413,871</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413,871</w: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June 30, 2023</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1,118,269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5,591</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4,869,791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5,120,063</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(155,725)</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(70,784)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(1,998,256)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7,841,464</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513" w:name="Tc_H06w0ExZqUCUXOzOok_vjw_23_21"/>
      <w:bookmarkStart w:id="514" w:name="Tc_plzP33dE-UuRKLNy_wVodw_23_18"/>
      <w:bookmarkStart w:id="515" w:name="Tc_izBcgzCn-0yaNvEtH2NRwQ_23_13"/>
      <w:bookmarkStart w:id="516" w:name="Tc_k5hu8-QWKkyxb5cWIMWv1A_23_10"/>
      <w:bookmarkStart w:id="517" w:name="Tc_lswBnTI3V0W_lAK_C0uNfA_23_7"/>
      <w:bookmarkStart w:id="518" w:name="Tc_YY1RzUlgG0eAtGnU-9mORg_23_4"/>
      <w:bookmarkStart w:id="519" w:name="Tc_Xu5fM6el5kO7yA31WsLY8g_23_0"/>
      <w:bookmarkStart w:id="520" w:name="Tc_Okh-M6_W-U2OQmH0n1kIjQ_21_19"/>
      <w:bookmarkStart w:id="521" w:name="Tc_afswd_SxVUqXFDNnVWNPRg_21_16"/>
      <w:bookmarkStart w:id="522" w:name="Tc_eIIBXw_ZrU-fbCLdv3233A_21_14"/>
      <w:bookmarkStart w:id="523" w:name="Tc_AedodhcWSkyxyUp52FZN5w_21_8"/>
      <w:bookmarkStart w:id="524" w:name="Tc_sOc5oGlrg0-aYuVGfPvWqw_21_5"/>
      <w:bookmarkStart w:id="525" w:name="Tc_G9G2c5gVmkGg_nOGAMf6-g_21_2"/>
      <w:bookmarkStart w:id="526" w:name="Tc_GpPXtWKhTUWPHlrBFrwUcg_21_0"/>
      <w:bookmarkStart w:id="527" w:name="Tc_ofdVofcsVkeGRFeWKu77Vw_20_19"/>
      <w:bookmarkStart w:id="528" w:name="Tc_RrL69TDWvUy5qA68KDEz7A_20_16"/>
      <w:bookmarkStart w:id="529" w:name="Tc_DPq4eEQCk0mLMdxSanokXw_20_11"/>
      <w:bookmarkStart w:id="530" w:name="Tc_EHVtqzYFYEC7cOS3sg_lcg_20_8"/>
      <w:bookmarkStart w:id="531" w:name="Tc_H53C1kcymUGjNVneCn4LtA_20_5"/>
      <w:bookmarkStart w:id="532" w:name="Tc_Kd7o_2ExhEWrEw4ty48Ssw_20_2"/>
      <w:bookmarkStart w:id="533" w:name="Tc_d3NRl1_bF0-CuAd2r9PfWg_20_0"/>
      <w:bookmarkStart w:id="534" w:name="Tc_CcLpKX0Nd0WxBCJYCEyzVQ_19_14"/>
      <w:bookmarkStart w:id="535" w:name="Tc_V7I0p3F_70OmE43kCgVOow_19_11"/>
      <w:bookmarkStart w:id="536" w:name="Tc_oIXGF608DUybgPn8sFt_cg_19_8"/>
      <w:bookmarkStart w:id="537" w:name="Tc_-qipOhZXYEib_LmzHy50Ng_19_5"/>
      <w:bookmarkStart w:id="538" w:name="Tc_Pc1jwVgye0-tpJO8cH7W1A_19_2"/>
      <w:bookmarkStart w:id="539" w:name="Tc_YTt46EV-G0OJzGcAqIGXEw_19_0"/>
      <w:bookmarkStart w:id="540" w:name="Tc_4zNeUnQjKEiT-WaglThGog_18_19"/>
      <w:bookmarkStart w:id="541" w:name="Tc_Wejw1DbjgEya_aq1-dCG9A_18_16"/>
      <w:bookmarkStart w:id="542" w:name="Tc_TvBMYpj9hEWVYjjaWv5-4Q_18_11"/>
      <w:bookmarkStart w:id="543" w:name="Tc_YZ7e2VRVR0qHAAcRYBhKYQ_18_8"/>
      <w:bookmarkStart w:id="544" w:name="Tc_gd2iV8k3C06FLjZLOCAlAA_18_5"/>
      <w:bookmarkStart w:id="545" w:name="Tc_1ktn-MH0QEqaECsYTB5l6Q_18_2"/>
      <w:bookmarkStart w:id="546" w:name="Tc_dZBpyArHiUW0ny0vSG-RXg_18_0"/>
      <w:bookmarkStart w:id="547" w:name="Tc_IJ23mfb1EUiYIkS6B21ofQ_17_19"/>
      <w:bookmarkStart w:id="548" w:name="Tc_iu7nWnGw5U-R1SUWr6CoKw_17_16"/>
      <w:bookmarkStart w:id="549" w:name="Tc_M-dXl-pl6kKVQYE_W3pJ1A_17_14"/>
      <w:bookmarkStart w:id="550" w:name="Tc_qhT_0LCVQUyxKmyBViUpHw_17_11"/>
      <w:bookmarkStart w:id="551" w:name="Tc_Yz_UXYjhE02ctu7pnFFI3Q_17_0"/>
      <w:bookmarkStart w:id="552" w:name="Tc_idnUEIllIECwR3CjVJGQ0w_16_19"/>
      <w:bookmarkStart w:id="553" w:name="Tc_3UvbYJT7xk2QzQy74wrG2w_16_16"/>
      <w:bookmarkStart w:id="554" w:name="Tc_4zAqEYVT30yR50GXGgt77g_16_14"/>
      <w:bookmarkStart w:id="555" w:name="Tc_PkJnbV7nGEC27tYbOzg1UA_16_11"/>
      <w:bookmarkStart w:id="556" w:name="Tc_evCQHCg7hEe25w7dH9JWlA_16_5"/>
      <w:bookmarkStart w:id="557" w:name="Tc_HHe0xrJaOUCn6Px37aho-Q_16_2"/>
      <w:bookmarkStart w:id="558" w:name="Tc_oSv3kkFnj0CJp0joApx6pw_16_0"/>
      <w:bookmarkStart w:id="559" w:name="Tc_2DB3REKJ-k-Ju7tE8zd2RA_14_21"/>
      <w:bookmarkStart w:id="560" w:name="Tc_pJMxxxEqBky08UmsEyMuzw_14_18"/>
      <w:bookmarkStart w:id="561" w:name="Tc_VUxzG-FNNkC3lnCnkGxhwA_14_13"/>
      <w:bookmarkStart w:id="562" w:name="Tc_cgQKgKcMS0WWHCE1s0AQDw_14_10"/>
      <w:bookmarkStart w:id="563" w:name="Tc_SqHFIyg4V0-PFVDkjH6fyQ_14_7"/>
      <w:bookmarkStart w:id="564" w:name="Tc_I3HaumgE9kaar8bLk0CcFg_14_4"/>
      <w:bookmarkStart w:id="565" w:name="Tc_2kodJRs5Fk--PS5j46fh2A_14_0"/>
      <w:bookmarkStart w:id="566" w:name="Tc_zSjdttIGWEimyVCVO6DMNg_12_19"/>
      <w:bookmarkStart w:id="567" w:name="Tc_9qcx5mUeKE-RMwtM287Kag_12_16"/>
      <w:bookmarkStart w:id="568" w:name="Tc_u0qLwrE0rkWyybEvZe0YMA_12_14"/>
      <w:bookmarkStart w:id="569" w:name="Tc_VVhZ8rd4jUWkh5c-VtE9ng_12_8"/>
      <w:bookmarkStart w:id="570" w:name="Tc_sqM73stU8ki8axt5w5qnqA_12_5"/>
      <w:bookmarkStart w:id="571" w:name="Tc_K0Rokv5dt0-cN_5aBLqqBg_12_2"/>
      <w:bookmarkStart w:id="572" w:name="Tc_5uqdFRsan06w_WxvqJRkQQ_12_0"/>
      <w:bookmarkStart w:id="573" w:name="Tc_sUD0Z_dmVEaaUgk_NW7ClQ_11_19"/>
      <w:bookmarkStart w:id="574" w:name="Tc_OIf4Tor4P0mJIjYdGqseTA_11_16"/>
      <w:bookmarkStart w:id="575" w:name="Tc_eNu5amlidEewwWWqLQoSlA_11_11"/>
      <w:bookmarkStart w:id="576" w:name="Tc_WG5FTdggXUOQp9XK_3bJ9g_11_8"/>
      <w:bookmarkStart w:id="577" w:name="Tc_8RvDH2Enc0yIGVniWlmspw_11_5"/>
      <w:bookmarkStart w:id="578" w:name="Tc_lb-spfwtckaAxv93PdN6Zw_11_2"/>
      <w:bookmarkStart w:id="579" w:name="Tc_BHL6A2ZLg02sSztjWnFw4Q_11_0"/>
      <w:bookmarkStart w:id="580" w:name="Tc_1WpluYaW3EuiOyStpca67A_10_14"/>
      <w:bookmarkStart w:id="581" w:name="Tc_s4S0PYwMKUCMYUom1YEptA_10_11"/>
      <w:bookmarkStart w:id="582" w:name="Tc_OId0MKObmUKzw1DLDP_VEw_10_8"/>
      <w:bookmarkStart w:id="583" w:name="Tc_Dz1uSEgnu0CY_JUW6J32LQ_10_5"/>
      <w:bookmarkStart w:id="584" w:name="Tc_W9uBX8JjgEGqi70atZL5vQ_10_2"/>
      <w:bookmarkStart w:id="585" w:name="Tc_v7FKXuPqS02aio3p8N8mFw_10_0"/>
      <w:bookmarkStart w:id="586" w:name="Tc_TDOLf0T3N0uKhag3Vb3mUg_9_19"/>
      <w:bookmarkStart w:id="587" w:name="Tc_nYqDNgyNHk2EEbeo-7MEAA_9_16"/>
      <w:bookmarkStart w:id="588" w:name="Tc_AUSBtmIOgU6LMnVUMOYP8g_9_11"/>
      <w:bookmarkStart w:id="589" w:name="Tc_l7PyGiOXv0KlaFCDHL5ejQ_9_8"/>
      <w:bookmarkStart w:id="590" w:name="Tc__pYEW7mpAUacA4OCZBd8ug_9_5"/>
      <w:bookmarkStart w:id="591" w:name="Tc_k5_qSgSfAkm64UvxKzb0BQ_9_2"/>
      <w:bookmarkStart w:id="592" w:name="Tc_DSIfsNKlY0KMJMc8z-rnVg_9_0"/>
      <w:bookmarkStart w:id="593" w:name="Tc__B6wevwtBkegJAItJ7nIAg_8_19"/>
      <w:bookmarkStart w:id="594" w:name="Tc_q70Dk4N6cEmj17GhmOn2Hw_8_16"/>
      <w:bookmarkStart w:id="595" w:name="Tc_NbSY4FG95kSZxaOCwGwIjw_8_14"/>
      <w:bookmarkStart w:id="596" w:name="Tc_p1Q6L5SCLEyf_121ob0R-w_8_11"/>
      <w:bookmarkStart w:id="597" w:name="Tc_ay_5oqGjBkmfOc6eeXqhJg_8_0"/>
      <w:bookmarkStart w:id="598" w:name="Tc_zn_eKuZawEWeNz0frw01mw_7_19"/>
      <w:bookmarkStart w:id="599" w:name="Tc_hOUHGpDkF0Sl49omy9j8xw_7_16"/>
      <w:bookmarkStart w:id="600" w:name="Tc_JMy-Qq4LUkqtlhxu7LD8PQ_7_14"/>
      <w:bookmarkStart w:id="601" w:name="Tc_vUMDbyKx3k6gRwhsmdbE4w_7_11"/>
      <w:bookmarkStart w:id="602" w:name="Tc_QOyCc9sFmUKY5Nc5L7zSqA_7_5"/>
      <w:bookmarkStart w:id="603" w:name="Tc_rRrEuY3jfU-4mapzQW6SHQ_7_2"/>
      <w:bookmarkStart w:id="604" w:name="Tc_5tQ65JQ6wUeUqLH38mvIXQ_7_0"/>
      <w:bookmarkStart w:id="605" w:name="Tc_WWQOiZuUqE2egLTSsdVBbg_5_21"/>
      <w:bookmarkStart w:id="606" w:name="Tc_9jx9TL1k2E-hBP2V7VgYpA_5_18"/>
      <w:bookmarkStart w:id="607" w:name="Tc_AujK0oki40eiBfnQSs4QpA_5_13"/>
      <w:bookmarkStart w:id="608" w:name="Tc_PGNygrjV10uBLkCvzjdLiw_5_10"/>
      <w:bookmarkStart w:id="609" w:name="Tc_7BVoikb7E0-ZiAayeFKGWw_5_7"/>
      <w:bookmarkStart w:id="610" w:name="Tc_IimuNAOY_EeKgdFjNMtNAQ_5_4"/>
      <w:bookmarkStart w:id="611" w:name="Tc_reYBvIylGkujd9lCJge46g_5_0"/>
      <w:bookmarkStart w:id="612" w:name="Tc_JDMmhefvqUOdeAgWkWiuGA_4_21"/>
      <w:bookmarkStart w:id="613" w:name="Tc_Iscd_-VrEkuTXqx7jv3r6w_4_18"/>
      <w:bookmarkStart w:id="614" w:name="Tc_HCo6Fr14HUeBDfklpVnvMw_4_16"/>
      <w:bookmarkStart w:id="615" w:name="Tc_4hTRmTl6BEO5fl_RbdKSTQ_4_13"/>
      <w:bookmarkStart w:id="616" w:name="Tc_Hhn2nb40X0i3nZkTpWxP7g_4_10"/>
      <w:bookmarkStart w:id="617" w:name="Tc_cXkPTLhsr0-9fSiG5qNgig_4_7"/>
      <w:bookmarkStart w:id="618" w:name="Tc_RBlK-5-aSEGsxJeVaFOBOw_4_4"/>
      <w:bookmarkStart w:id="619" w:name="Tc_Bl1Zvpxzj0awMBAch6p-8Q_4_2"/>
      <w:bookmarkStart w:id="620" w:name="Tc_2jeBFhoDZUqFDm5MJy7UUA_3_21"/>
      <w:bookmarkStart w:id="621" w:name="Tc_TEVXwQ6VtkG_S-g_4WiOJQ_3_16"/>
      <w:bookmarkStart w:id="622" w:name="Tc_NFTIqm-1fUaR2Vs7okGOPQ_3_13"/>
      <w:bookmarkStart w:id="623" w:name="Tc_da1KSj3-tECmWirNHwJdFw_3_10"/>
      <w:bookmarkStart w:id="624" w:name="Tc_1ID2OSMOV06KnoSpVdos5g_3_7"/>
      <w:bookmarkStart w:id="625" w:name="Tc_ysbr1wp1S0mpcvws1XKSzQ_3_2"/>
      <w:bookmarkStart w:id="626" w:name="Tc_4C9WoPLy-k2OsTZ88KE7rQ_2_21"/>
      <w:bookmarkStart w:id="627" w:name="Tc_12mB2afaH0idMFlb_HJRAA_2_13"/>
      <w:bookmarkStart w:id="628" w:name="_f30de4c4_50e8_4b76_95e7_5cf508d24da9"/>
      <w:bookmarkStart w:id="629" w:name="Tc_H06w0ExZqUCUXOzOok_vjw_23_21"/>
      <w:bookmarkStart w:id="630" w:name="Tc_plzP33dE-UuRKLNy_wVodw_23_18"/>
      <w:bookmarkStart w:id="631" w:name="Tc_izBcgzCn-0yaNvEtH2NRwQ_23_13"/>
      <w:bookmarkStart w:id="632" w:name="Tc_k5hu8-QWKkyxb5cWIMWv1A_23_10"/>
      <w:bookmarkStart w:id="633" w:name="Tc_lswBnTI3V0W_lAK_C0uNfA_23_7"/>
      <w:bookmarkStart w:id="634" w:name="Tc_YY1RzUlgG0eAtGnU-9mORg_23_4"/>
      <w:bookmarkStart w:id="635" w:name="Tc_Xu5fM6el5kO7yA31WsLY8g_23_0"/>
      <w:bookmarkStart w:id="636" w:name="Tc_Okh-M6_W-U2OQmH0n1kIjQ_21_19"/>
      <w:bookmarkStart w:id="637" w:name="Tc_afswd_SxVUqXFDNnVWNPRg_21_16"/>
      <w:bookmarkStart w:id="638" w:name="Tc_eIIBXw_ZrU-fbCLdv3233A_21_14"/>
      <w:bookmarkStart w:id="639" w:name="Tc_AedodhcWSkyxyUp52FZN5w_21_8"/>
      <w:bookmarkStart w:id="640" w:name="Tc_sOc5oGlrg0-aYuVGfPvWqw_21_5"/>
      <w:bookmarkStart w:id="641" w:name="Tc_G9G2c5gVmkGg_nOGAMf6-g_21_2"/>
      <w:bookmarkStart w:id="642" w:name="Tc_GpPXtWKhTUWPHlrBFrwUcg_21_0"/>
      <w:bookmarkStart w:id="643" w:name="Tc_ofdVofcsVkeGRFeWKu77Vw_20_19"/>
      <w:bookmarkStart w:id="644" w:name="Tc_RrL69TDWvUy5qA68KDEz7A_20_16"/>
      <w:bookmarkStart w:id="645" w:name="Tc_DPq4eEQCk0mLMdxSanokXw_20_11"/>
      <w:bookmarkStart w:id="646" w:name="Tc_EHVtqzYFYEC7cOS3sg_lcg_20_8"/>
      <w:bookmarkStart w:id="647" w:name="Tc_H53C1kcymUGjNVneCn4LtA_20_5"/>
      <w:bookmarkStart w:id="648" w:name="Tc_Kd7o_2ExhEWrEw4ty48Ssw_20_2"/>
      <w:bookmarkStart w:id="649" w:name="Tc_d3NRl1_bF0-CuAd2r9PfWg_20_0"/>
      <w:bookmarkStart w:id="650" w:name="Tc_CcLpKX0Nd0WxBCJYCEyzVQ_19_14"/>
      <w:bookmarkStart w:id="651" w:name="Tc_V7I0p3F_70OmE43kCgVOow_19_11"/>
      <w:bookmarkStart w:id="652" w:name="Tc_oIXGF608DUybgPn8sFt_cg_19_8"/>
      <w:bookmarkStart w:id="653" w:name="Tc_-qipOhZXYEib_LmzHy50Ng_19_5"/>
      <w:bookmarkStart w:id="654" w:name="Tc_Pc1jwVgye0-tpJO8cH7W1A_19_2"/>
      <w:bookmarkStart w:id="655" w:name="Tc_YTt46EV-G0OJzGcAqIGXEw_19_0"/>
      <w:bookmarkStart w:id="656" w:name="Tc_4zNeUnQjKEiT-WaglThGog_18_19"/>
      <w:bookmarkStart w:id="657" w:name="Tc_Wejw1DbjgEya_aq1-dCG9A_18_16"/>
      <w:bookmarkStart w:id="658" w:name="Tc_TvBMYpj9hEWVYjjaWv5-4Q_18_11"/>
      <w:bookmarkStart w:id="659" w:name="Tc_YZ7e2VRVR0qHAAcRYBhKYQ_18_8"/>
      <w:bookmarkStart w:id="660" w:name="Tc_gd2iV8k3C06FLjZLOCAlAA_18_5"/>
      <w:bookmarkStart w:id="661" w:name="Tc_1ktn-MH0QEqaECsYTB5l6Q_18_2"/>
      <w:bookmarkStart w:id="662" w:name="Tc_dZBpyArHiUW0ny0vSG-RXg_18_0"/>
      <w:bookmarkStart w:id="663" w:name="Tc_IJ23mfb1EUiYIkS6B21ofQ_17_19"/>
      <w:bookmarkStart w:id="664" w:name="Tc_iu7nWnGw5U-R1SUWr6CoKw_17_16"/>
      <w:bookmarkStart w:id="665" w:name="Tc_M-dXl-pl6kKVQYE_W3pJ1A_17_14"/>
      <w:bookmarkStart w:id="666" w:name="Tc_qhT_0LCVQUyxKmyBViUpHw_17_11"/>
      <w:bookmarkStart w:id="667" w:name="Tc_Yz_UXYjhE02ctu7pnFFI3Q_17_0"/>
      <w:bookmarkStart w:id="668" w:name="Tc_idnUEIllIECwR3CjVJGQ0w_16_19"/>
      <w:bookmarkStart w:id="669" w:name="Tc_3UvbYJT7xk2QzQy74wrG2w_16_16"/>
      <w:bookmarkStart w:id="670" w:name="Tc_4zAqEYVT30yR50GXGgt77g_16_14"/>
      <w:bookmarkStart w:id="671" w:name="Tc_PkJnbV7nGEC27tYbOzg1UA_16_11"/>
      <w:bookmarkStart w:id="672" w:name="Tc_evCQHCg7hEe25w7dH9JWlA_16_5"/>
      <w:bookmarkStart w:id="673" w:name="Tc_HHe0xrJaOUCn6Px37aho-Q_16_2"/>
      <w:bookmarkStart w:id="674" w:name="Tc_oSv3kkFnj0CJp0joApx6pw_16_0"/>
      <w:bookmarkStart w:id="675" w:name="Tc_2DB3REKJ-k-Ju7tE8zd2RA_14_21"/>
      <w:bookmarkStart w:id="676" w:name="Tc_pJMxxxEqBky08UmsEyMuzw_14_18"/>
      <w:bookmarkStart w:id="677" w:name="Tc_VUxzG-FNNkC3lnCnkGxhwA_14_13"/>
      <w:bookmarkStart w:id="678" w:name="Tc_cgQKgKcMS0WWHCE1s0AQDw_14_10"/>
      <w:bookmarkStart w:id="679" w:name="Tc_SqHFIyg4V0-PFVDkjH6fyQ_14_7"/>
      <w:bookmarkStart w:id="680" w:name="Tc_I3HaumgE9kaar8bLk0CcFg_14_4"/>
      <w:bookmarkStart w:id="681" w:name="Tc_2kodJRs5Fk--PS5j46fh2A_14_0"/>
      <w:bookmarkStart w:id="682" w:name="Tc_zSjdttIGWEimyVCVO6DMNg_12_19"/>
      <w:bookmarkStart w:id="683" w:name="Tc_9qcx5mUeKE-RMwtM287Kag_12_16"/>
      <w:bookmarkStart w:id="684" w:name="Tc_u0qLwrE0rkWyybEvZe0YMA_12_14"/>
      <w:bookmarkStart w:id="685" w:name="Tc_VVhZ8rd4jUWkh5c-VtE9ng_12_8"/>
      <w:bookmarkStart w:id="686" w:name="Tc_sqM73stU8ki8axt5w5qnqA_12_5"/>
      <w:bookmarkStart w:id="687" w:name="Tc_K0Rokv5dt0-cN_5aBLqqBg_12_2"/>
      <w:bookmarkStart w:id="688" w:name="Tc_5uqdFRsan06w_WxvqJRkQQ_12_0"/>
      <w:bookmarkStart w:id="689" w:name="Tc_sUD0Z_dmVEaaUgk_NW7ClQ_11_19"/>
      <w:bookmarkStart w:id="690" w:name="Tc_OIf4Tor4P0mJIjYdGqseTA_11_16"/>
      <w:bookmarkStart w:id="691" w:name="Tc_eNu5amlidEewwWWqLQoSlA_11_11"/>
      <w:bookmarkStart w:id="692" w:name="Tc_WG5FTdggXUOQp9XK_3bJ9g_11_8"/>
      <w:bookmarkStart w:id="693" w:name="Tc_8RvDH2Enc0yIGVniWlmspw_11_5"/>
      <w:bookmarkStart w:id="694" w:name="Tc_lb-spfwtckaAxv93PdN6Zw_11_2"/>
      <w:bookmarkStart w:id="695" w:name="Tc_BHL6A2ZLg02sSztjWnFw4Q_11_0"/>
      <w:bookmarkStart w:id="696" w:name="Tc_1WpluYaW3EuiOyStpca67A_10_14"/>
      <w:bookmarkStart w:id="697" w:name="Tc_s4S0PYwMKUCMYUom1YEptA_10_11"/>
      <w:bookmarkStart w:id="698" w:name="Tc_OId0MKObmUKzw1DLDP_VEw_10_8"/>
      <w:bookmarkStart w:id="699" w:name="Tc_Dz1uSEgnu0CY_JUW6J32LQ_10_5"/>
      <w:bookmarkStart w:id="700" w:name="Tc_W9uBX8JjgEGqi70atZL5vQ_10_2"/>
      <w:bookmarkStart w:id="701" w:name="Tc_v7FKXuPqS02aio3p8N8mFw_10_0"/>
      <w:bookmarkStart w:id="702" w:name="Tc_TDOLf0T3N0uKhag3Vb3mUg_9_19"/>
      <w:bookmarkStart w:id="703" w:name="Tc_nYqDNgyNHk2EEbeo-7MEAA_9_16"/>
      <w:bookmarkStart w:id="704" w:name="Tc_AUSBtmIOgU6LMnVUMOYP8g_9_11"/>
      <w:bookmarkStart w:id="705" w:name="Tc_l7PyGiOXv0KlaFCDHL5ejQ_9_8"/>
      <w:bookmarkStart w:id="706" w:name="Tc__pYEW7mpAUacA4OCZBd8ug_9_5"/>
      <w:bookmarkStart w:id="707" w:name="Tc_k5_qSgSfAkm64UvxKzb0BQ_9_2"/>
      <w:bookmarkStart w:id="708" w:name="Tc_DSIfsNKlY0KMJMc8z-rnVg_9_0"/>
      <w:bookmarkStart w:id="709" w:name="Tc__B6wevwtBkegJAItJ7nIAg_8_19"/>
      <w:bookmarkStart w:id="710" w:name="Tc_q70Dk4N6cEmj17GhmOn2Hw_8_16"/>
      <w:bookmarkStart w:id="711" w:name="Tc_NbSY4FG95kSZxaOCwGwIjw_8_14"/>
      <w:bookmarkStart w:id="712" w:name="Tc_p1Q6L5SCLEyf_121ob0R-w_8_11"/>
      <w:bookmarkStart w:id="713" w:name="Tc_ay_5oqGjBkmfOc6eeXqhJg_8_0"/>
      <w:bookmarkStart w:id="714" w:name="Tc_zn_eKuZawEWeNz0frw01mw_7_19"/>
      <w:bookmarkStart w:id="715" w:name="Tc_hOUHGpDkF0Sl49omy9j8xw_7_16"/>
      <w:bookmarkStart w:id="716" w:name="Tc_JMy-Qq4LUkqtlhxu7LD8PQ_7_14"/>
      <w:bookmarkStart w:id="717" w:name="Tc_vUMDbyKx3k6gRwhsmdbE4w_7_11"/>
      <w:bookmarkStart w:id="718" w:name="Tc_QOyCc9sFmUKY5Nc5L7zSqA_7_5"/>
      <w:bookmarkStart w:id="719" w:name="Tc_rRrEuY3jfU-4mapzQW6SHQ_7_2"/>
      <w:bookmarkStart w:id="720" w:name="Tc_5tQ65JQ6wUeUqLH38mvIXQ_7_0"/>
      <w:bookmarkStart w:id="721" w:name="Tc_WWQOiZuUqE2egLTSsdVBbg_5_21"/>
      <w:bookmarkStart w:id="722" w:name="Tc_9jx9TL1k2E-hBP2V7VgYpA_5_18"/>
      <w:bookmarkStart w:id="723" w:name="Tc_AujK0oki40eiBfnQSs4QpA_5_13"/>
      <w:bookmarkStart w:id="724" w:name="Tc_PGNygrjV10uBLkCvzjdLiw_5_10"/>
      <w:bookmarkStart w:id="725" w:name="Tc_7BVoikb7E0-ZiAayeFKGWw_5_7"/>
      <w:bookmarkStart w:id="726" w:name="Tc_IimuNAOY_EeKgdFjNMtNAQ_5_4"/>
      <w:bookmarkStart w:id="727" w:name="Tc_reYBvIylGkujd9lCJge46g_5_0"/>
      <w:bookmarkStart w:id="728" w:name="Tc_JDMmhefvqUOdeAgWkWiuGA_4_21"/>
      <w:bookmarkStart w:id="729" w:name="Tc_Iscd_-VrEkuTXqx7jv3r6w_4_18"/>
      <w:bookmarkStart w:id="730" w:name="Tc_HCo6Fr14HUeBDfklpVnvMw_4_16"/>
      <w:bookmarkStart w:id="731" w:name="Tc_4hTRmTl6BEO5fl_RbdKSTQ_4_13"/>
      <w:bookmarkStart w:id="732" w:name="Tc_Hhn2nb40X0i3nZkTpWxP7g_4_10"/>
      <w:bookmarkStart w:id="733" w:name="Tc_cXkPTLhsr0-9fSiG5qNgig_4_7"/>
      <w:bookmarkStart w:id="734" w:name="Tc_RBlK-5-aSEGsxJeVaFOBOw_4_4"/>
      <w:bookmarkStart w:id="735" w:name="Tc_Bl1Zvpxzj0awMBAch6p-8Q_4_2"/>
      <w:bookmarkStart w:id="736" w:name="Tc_2jeBFhoDZUqFDm5MJy7UUA_3_21"/>
      <w:bookmarkStart w:id="737" w:name="Tc_TEVXwQ6VtkG_S-g_4WiOJQ_3_16"/>
      <w:bookmarkStart w:id="738" w:name="Tc_NFTIqm-1fUaR2Vs7okGOPQ_3_13"/>
      <w:bookmarkStart w:id="739" w:name="Tc_da1KSj3-tECmWirNHwJdFw_3_10"/>
      <w:bookmarkStart w:id="740" w:name="Tc_1ID2OSMOV06KnoSpVdos5g_3_7"/>
      <w:bookmarkStart w:id="741" w:name="Tc_ysbr1wp1S0mpcvws1XKSzQ_3_2"/>
      <w:bookmarkStart w:id="742" w:name="Tc_4C9WoPLy-k2OsTZ88KE7rQ_2_21"/>
      <w:bookmarkStart w:id="743" w:name="Tc_12mB2afaH0idMFlb_HJRAA_2_13"/>
      <w:bookmarkStart w:id="744" w:name="_f30de4c4_50e8_4b76_95e7_5cf508d24da9"/>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p>
    <w:tbl>
      <w:tblPr>
        <w:tblW w:w="11876" w:type="dxa"/>
        <w:jc w:val="left"/>
        <w:tblInd w:w="0" w:type="dxa"/>
        <w:tblLayout w:type="fixed"/>
        <w:tblCellMar>
          <w:top w:w="0" w:type="dxa"/>
          <w:left w:w="0" w:type="dxa"/>
          <w:bottom w:w="0" w:type="dxa"/>
          <w:right w:w="0" w:type="dxa"/>
        </w:tblCellMar>
      </w:tblPr>
      <w:tblGrid>
        <w:gridCol w:w="1321"/>
        <w:gridCol w:w="326"/>
        <w:gridCol w:w="826"/>
        <w:gridCol w:w="326"/>
        <w:gridCol w:w="196"/>
        <w:gridCol w:w="511"/>
        <w:gridCol w:w="326"/>
        <w:gridCol w:w="233"/>
        <w:gridCol w:w="983"/>
        <w:gridCol w:w="326"/>
        <w:gridCol w:w="196"/>
        <w:gridCol w:w="826"/>
        <w:gridCol w:w="326"/>
        <w:gridCol w:w="316"/>
        <w:gridCol w:w="900"/>
        <w:gridCol w:w="326"/>
        <w:gridCol w:w="751"/>
        <w:gridCol w:w="326"/>
        <w:gridCol w:w="196"/>
        <w:gridCol w:w="886"/>
        <w:gridCol w:w="326"/>
        <w:gridCol w:w="196"/>
        <w:gridCol w:w="931"/>
      </w:tblGrid>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7010" cy="175260"/>
                      <wp:effectExtent l="0" t="0" r="0" b="0"/>
                      <wp:wrapNone/>
                      <wp:docPr id="57" name="Frame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524510" cy="175260"/>
                      <wp:effectExtent l="0" t="0" r="0" b="0"/>
                      <wp:wrapNone/>
                      <wp:docPr id="58" name="Frame5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07010" cy="175260"/>
                      <wp:effectExtent l="0" t="0" r="0" b="0"/>
                      <wp:wrapNone/>
                      <wp:docPr id="59" name="Frame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24460" cy="175260"/>
                      <wp:effectExtent l="0" t="0" r="0" b="0"/>
                      <wp:wrapNone/>
                      <wp:docPr id="60" name="Frame6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324485" cy="175260"/>
                      <wp:effectExtent l="0" t="0" r="0" b="0"/>
                      <wp:wrapNone/>
                      <wp:docPr id="61" name="Frame61"/>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7010" cy="175260"/>
                      <wp:effectExtent l="0" t="0" r="0" b="0"/>
                      <wp:wrapNone/>
                      <wp:docPr id="62" name="Frame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47955" cy="175260"/>
                      <wp:effectExtent l="0" t="0" r="0" b="0"/>
                      <wp:wrapNone/>
                      <wp:docPr id="63" name="Frame63"/>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24205" cy="175260"/>
                      <wp:effectExtent l="0" t="0" r="0" b="0"/>
                      <wp:wrapNone/>
                      <wp:docPr id="64" name="Frame64"/>
                      <a:graphic xmlns:a="http://schemas.openxmlformats.org/drawingml/2006/main">
                        <a:graphicData uri="http://schemas.microsoft.com/office/word/2010/wordprocessingShape">
                          <wps:wsp>
                            <wps:cNvSpPr txBox="1"/>
                            <wps:spPr>
                              <a:xfrm>
                                <a:off x="0" y="0"/>
                                <a:ext cx="624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07010" cy="175260"/>
                      <wp:effectExtent l="0" t="0" r="0" b="0"/>
                      <wp:wrapNone/>
                      <wp:docPr id="65" name="Frame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24460" cy="175260"/>
                      <wp:effectExtent l="0" t="0" r="0" b="0"/>
                      <wp:wrapNone/>
                      <wp:docPr id="66" name="Frame6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524510" cy="175260"/>
                      <wp:effectExtent l="0" t="0" r="0" b="0"/>
                      <wp:wrapNone/>
                      <wp:docPr id="67" name="Frame6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7010" cy="175260"/>
                      <wp:effectExtent l="0" t="0" r="0" b="0"/>
                      <wp:wrapNone/>
                      <wp:docPr id="68" name="Frame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0660" cy="175260"/>
                      <wp:effectExtent l="0" t="0" r="0" b="0"/>
                      <wp:wrapNone/>
                      <wp:docPr id="69" name="Frame6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571500" cy="175260"/>
                      <wp:effectExtent l="0" t="0" r="0" b="0"/>
                      <wp:wrapNone/>
                      <wp:docPr id="70" name="Frame70"/>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71" name="Frame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476885" cy="175260"/>
                      <wp:effectExtent l="0" t="0" r="0" b="0"/>
                      <wp:wrapNone/>
                      <wp:docPr id="72" name="Frame72"/>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07010" cy="175260"/>
                      <wp:effectExtent l="0" t="0" r="0" b="0"/>
                      <wp:wrapNone/>
                      <wp:docPr id="73" name="Frame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24460" cy="175260"/>
                      <wp:effectExtent l="0" t="0" r="0" b="0"/>
                      <wp:wrapNone/>
                      <wp:docPr id="74" name="Frame7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562610" cy="175260"/>
                      <wp:effectExtent l="0" t="0" r="0" b="0"/>
                      <wp:wrapNone/>
                      <wp:docPr id="75" name="Frame7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07010" cy="175260"/>
                      <wp:effectExtent l="0" t="0" r="0" b="0"/>
                      <wp:wrapNone/>
                      <wp:docPr id="76" name="Frame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24460" cy="175260"/>
                      <wp:effectExtent l="0" t="0" r="0" b="0"/>
                      <wp:wrapNone/>
                      <wp:docPr id="77" name="Frame7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591185" cy="175260"/>
                      <wp:effectExtent l="0" t="0" r="0" b="0"/>
                      <wp:wrapNone/>
                      <wp:docPr id="78" name="Frame7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Other</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5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left"/>
              <w:rPr/>
            </w:pPr>
            <w:r>
              <w:rPr/>
              <w:t>​</w:t>
            </w:r>
          </w:p>
        </w:tc>
        <w:tc>
          <w:tcPr>
            <w:tcW w:w="215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 stock</w:t>
            </w:r>
          </w:p>
        </w:tc>
        <w:tc>
          <w:tcPr>
            <w:tcW w:w="326" w:type="dxa"/>
            <w:tcBorders/>
            <w:vAlign w:val="center"/>
          </w:tcPr>
          <w:p>
            <w:pPr>
              <w:pStyle w:val="TableContents"/>
              <w:bidi w:val="0"/>
              <w:spacing w:before="0" w:after="0"/>
              <w:ind w:left="0" w:right="0" w:hanging="0"/>
              <w:jc w:val="left"/>
              <w:rPr/>
            </w:pPr>
            <w:r>
              <w:rPr/>
              <w:t>​</w:t>
            </w:r>
          </w:p>
        </w:tc>
        <w:tc>
          <w:tcPr>
            <w:tcW w:w="11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 Income</w:t>
            </w:r>
          </w:p>
        </w:tc>
        <w:tc>
          <w:tcPr>
            <w:tcW w:w="326" w:type="dxa"/>
            <w:tcBorders/>
            <w:vAlign w:val="center"/>
          </w:tcPr>
          <w:p>
            <w:pPr>
              <w:pStyle w:val="TableContents"/>
              <w:bidi w:val="0"/>
              <w:spacing w:before="0" w:after="0"/>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10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Balance, December 31, 2021 </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1,280,086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6,400</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4,649,420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7,809,549</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(69,165)</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(221,440)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(5,829,253)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6,566,951</w: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Stock-based compensation </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16,175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16,175</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Stock options/awards </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4,504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4,510</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Unrealized gain (loss), net on available-for-sale securities </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9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(4,059)</w:t>
            </w:r>
          </w:p>
        </w:tc>
        <w:tc>
          <w:tcPr>
            <w:tcW w:w="32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(4,059)</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Repurchase of common stock </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(12,187)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(12,187)</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Foreign currency translation </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1,079</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1,079</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Net income </w:t>
            </w:r>
          </w:p>
        </w:tc>
        <w:tc>
          <w:tcPr>
            <w:tcW w:w="32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8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294,203</w:t>
            </w:r>
          </w:p>
        </w:tc>
        <w:tc>
          <w:tcPr>
            <w:tcW w:w="326" w:type="dxa"/>
            <w:tcBorders/>
            <w:vAlign w:val="center"/>
          </w:tcPr>
          <w:p>
            <w:pPr>
              <w:pStyle w:val="TableContents"/>
              <w:bidi w:val="0"/>
              <w:spacing w:before="0" w:after="0"/>
              <w:ind w:left="0" w:right="0" w:hanging="0"/>
              <w:jc w:val="left"/>
              <w:rPr/>
            </w:pPr>
            <w:r>
              <w:rPr/>
              <w:t>​</w:t>
            </w:r>
          </w:p>
        </w:tc>
        <w:tc>
          <w:tcPr>
            <w:tcW w:w="3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294,203</w:t>
            </w:r>
          </w:p>
        </w:tc>
      </w:tr>
      <w:tr>
        <w:trPr/>
        <w:tc>
          <w:tcPr>
            <w:tcW w:w="13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Balance, March 31, 2022 </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1,281,056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6,406</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8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4,670,099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8,103,752</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(72,145)</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(221,772)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(5,841,440)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6,866,672</w:t>
            </w:r>
          </w:p>
        </w:tc>
      </w:tr>
      <w:tr>
        <w:trPr/>
        <w:tc>
          <w:tcPr>
            <w:tcW w:w="13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Stock-based compensation </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16,157</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16,157</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Stock options/awards </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18,108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18,112</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Unrealized gain (loss), net on available-for-sale securities </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(1,105)</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(1,105)</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Repurchase of common stock </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(6,572)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(284,311)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(284,311)</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Foreign currency translation </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9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(79,707)</w:t>
            </w:r>
          </w:p>
        </w:tc>
        <w:tc>
          <w:tcPr>
            <w:tcW w:w="32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(79,707)</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Net income </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273,360</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273,360</w: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Balance, June 30, 2022 </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1,281,888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6,410</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4,704,364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8,377,112</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(152,957)</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(228,344)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(6,125,751)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6,809,178</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¹ Stock Split - The accompanying condensed consolidated financial statements and notes thereto have been retroactively updated to reflect the Stock Split. See Note 1 for additional information.</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745" w:name="_88f3c23f_fe84_4429_926d_33bbae90d151"/>
      <w:bookmarkEnd w:id="745"/>
      <w:r>
        <w:rPr>
          <w:rFonts w:ascii="Times New Roman;Times;serif" w:hAnsi="Times New Roman;Times;serif"/>
          <w:b/>
          <w:sz w:val="20"/>
        </w:rPr>
        <w:t>MONSTER BEVERAGE CORPORATION AND SUBSIDIARIES</w:t>
      </w:r>
    </w:p>
    <w:p>
      <w:pPr>
        <w:pStyle w:val="TextBody"/>
        <w:bidi w:val="0"/>
        <w:spacing w:lineRule="atLeast" w:line="220" w:before="0" w:after="0"/>
        <w:ind w:left="0" w:right="0" w:hanging="0"/>
        <w:jc w:val="left"/>
        <w:rPr>
          <w:rFonts w:ascii="Times New Roman;Times;serif" w:hAnsi="Times New Roman;Times;serif"/>
          <w:b/>
          <w:sz w:val="20"/>
        </w:rPr>
      </w:pPr>
      <w:bookmarkStart w:id="746" w:name="STATEMENTSOFCASHFLOWS_392736"/>
      <w:bookmarkEnd w:id="746"/>
      <w:r>
        <w:rPr>
          <w:rFonts w:ascii="Times New Roman;Times;serif" w:hAnsi="Times New Roman;Times;serif"/>
          <w:b/>
          <w:sz w:val="20"/>
        </w:rPr>
        <w:t>CONDENSED CONSOLIDATED STATEMENTS OF CASH FLOWS</w:t>
      </w:r>
    </w:p>
    <w:p>
      <w:pPr>
        <w:pStyle w:val="TextBody"/>
        <w:bidi w:val="0"/>
        <w:spacing w:lineRule="atLeast" w:line="220" w:before="0" w:after="0"/>
        <w:ind w:left="0" w:right="0" w:hanging="0"/>
        <w:jc w:val="left"/>
        <w:rPr>
          <w:rFonts w:ascii="Times New Roman;Times;serif" w:hAnsi="Times New Roman;Times;serif"/>
          <w:b/>
          <w:sz w:val="20"/>
        </w:rPr>
      </w:pPr>
      <w:r>
        <w:rPr>
          <w:rFonts w:ascii="Times New Roman;Times;serif" w:hAnsi="Times New Roman;Times;serif"/>
          <w:b/>
          <w:sz w:val="20"/>
        </w:rPr>
        <w:t>FOR THE SIX-MONTHS ENDED JUNE 30, 2023 AND 2022</w:t>
      </w:r>
    </w:p>
    <w:p>
      <w:pPr>
        <w:pStyle w:val="TextBody"/>
        <w:pBdr>
          <w:bottom w:val="single" w:sz="12" w:space="1" w:color="000000"/>
        </w:pBdr>
        <w:bidi w:val="0"/>
        <w:spacing w:lineRule="atLeast" w:line="220"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(In Thousands) (Unaudited) </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747" w:name="Tc_L8K7tKz85UaKg1aO059Z4w_52_5"/>
      <w:bookmarkStart w:id="748" w:name="Tc_rXIW_AFpik-P6XZDtp0d9w_52_2"/>
      <w:bookmarkStart w:id="749" w:name="Tc_tJ-83aJqwUas_-ZgD0XsuA_52_0"/>
      <w:bookmarkStart w:id="750" w:name="Tc_mOvEnomDxUG7CCybZvsD7A_51_5"/>
      <w:bookmarkStart w:id="751" w:name="Tc_w0jUQQfwbEaYRFxyR91leg_51_2"/>
      <w:bookmarkStart w:id="752" w:name="Tc_a69HFywZzUGMNHA7rjtpSQ_51_0"/>
      <w:bookmarkStart w:id="753" w:name="Tc_oEFr3p9DZk6vuiJVdCSPsA_50_0"/>
      <w:bookmarkStart w:id="754" w:name="Tc_44qJngTto0SuaJguENe8kQ_49_0"/>
      <w:bookmarkStart w:id="755" w:name="Tc_lxUKWbiHqEqoHI0c8g6WnA_47_5"/>
      <w:bookmarkStart w:id="756" w:name="Tc_sxq33vpY3U6xGXFVQ-uSFw_47_2"/>
      <w:bookmarkStart w:id="757" w:name="Tc_rCmz3EsUB0WHSkgjF1m8Cg_47_0"/>
      <w:bookmarkStart w:id="758" w:name="Tc_WXOPRigarEaILuTM7IB0rA_46_0"/>
      <w:bookmarkStart w:id="759" w:name="Tc_blyDK-6IcUyNumetjFLQsw_45_0"/>
      <w:bookmarkStart w:id="760" w:name="Tc_u0WFKZ2WPUSfcywr-DDmNQ_43_0"/>
      <w:bookmarkStart w:id="761" w:name="Tc_7OuSJ-dhkkeuveV8bd-7SA_41_0"/>
      <w:bookmarkStart w:id="762" w:name="Tc_N7etdNzKwEOT9-sdgMWHNg_40_0"/>
      <w:bookmarkStart w:id="763" w:name="Tc_nS1RGXaJ4UOtYv_Kqo8n0w_39_0"/>
      <w:bookmarkStart w:id="764" w:name="Tc_1rgIPM-bMEWu4V9C4s-ARw_38_0"/>
      <w:bookmarkStart w:id="765" w:name="Tc_XfMR8UsuPkaEF_VOKm4v9w_37_0"/>
      <w:bookmarkStart w:id="766" w:name="Tc_35eb2Q_nz0-ZFeNWdloIeg_35_0"/>
      <w:bookmarkStart w:id="767" w:name="Tc_kvHSq107-UKpASWMVEoO_w_34_0"/>
      <w:bookmarkStart w:id="768" w:name="Tc_3zUavgPldE6XrYsajaD6xg_33_0"/>
      <w:bookmarkStart w:id="769" w:name="Tc_zCsXz7BcLEG7OyZHC4-pdA_32_0"/>
      <w:bookmarkStart w:id="770" w:name="Tc_nGz_fyCuh0a529ySvlwUsA_31_0"/>
      <w:bookmarkStart w:id="771" w:name="Tc_6xk6qGyEGkGeDxastDtlUQ_30_0"/>
      <w:bookmarkStart w:id="772" w:name="Tc_YD8RHdpgqkWtkWp9IMLM0g_29_0"/>
      <w:bookmarkStart w:id="773" w:name="Tc_KXO4HspGtEuOYi7wUyNrLw_28_0"/>
      <w:bookmarkStart w:id="774" w:name="Tc_P9NUVbRP-EmP0JXUZVGXxA_27_0"/>
      <w:bookmarkStart w:id="775" w:name="Tc_rMz4UyaGo0eQc_VPSFvQvw_25_0"/>
      <w:bookmarkStart w:id="776" w:name="Tc_zzbEJdvKXEOo81QluYYd8A_24_0"/>
      <w:bookmarkStart w:id="777" w:name="Tc_f5Kkj32m1USUrag7vu7EeQ_23_0"/>
      <w:bookmarkStart w:id="778" w:name="Tc_M_vKVzWqIU2sIByr8_M0XA_22_0"/>
      <w:bookmarkStart w:id="779" w:name="Tc__e6qw6Sf30GpcBpMFLNCkA_21_0"/>
      <w:bookmarkStart w:id="780" w:name="Tc_PbtEg4RpP0aTMiVFqF_ejw_20_0"/>
      <w:bookmarkStart w:id="781" w:name="Tc_JPo9P-LGZU6K1e_oqb-ilg_19_0"/>
      <w:bookmarkStart w:id="782" w:name="Tc_UQMAdKfM20uNIF-9katJgQ_18_0"/>
      <w:bookmarkStart w:id="783" w:name="Tc_phaTNMAGL0O5IKc5LRIamQ_17_0"/>
      <w:bookmarkStart w:id="784" w:name="Tc_4PLunKgJzEWh8If--WDB8g_16_0"/>
      <w:bookmarkStart w:id="785" w:name="Tc_2jMN7I5yB06j3_rMSzJdqw_15_0"/>
      <w:bookmarkStart w:id="786" w:name="Tc_BF1n3wby1kizZC5MvJd66w_14_0"/>
      <w:bookmarkStart w:id="787" w:name="Tc_MOkKz_dkVkWZ-Dcuu8Is0g_13_0"/>
      <w:bookmarkStart w:id="788" w:name="Tc_XK4CG-Y3cEybjyWd7S-r6g_12_0"/>
      <w:bookmarkStart w:id="789" w:name="Tc_hs4Sl2w-H0aPq7X6Dqrp_A_11_0"/>
      <w:bookmarkStart w:id="790" w:name="Tc_82Beg4-a6069Li6pT0eiYw_10_0"/>
      <w:bookmarkStart w:id="791" w:name="Tc_qOk-mFstC0aSezMl4LMUyg_9_0"/>
      <w:bookmarkStart w:id="792" w:name="Tc_WWyUMJ0CUEKkadBk0EU0yg_8_0"/>
      <w:bookmarkStart w:id="793" w:name="Tc_eMm4KwOnAUKa2_Fz3WI6Gw_7_0"/>
      <w:bookmarkStart w:id="794" w:name="Tc_VWbmouhVjkibK1L3O9gV4A_6_0"/>
      <w:bookmarkStart w:id="795" w:name="Tc_g-NWnJ-9DE-odTLS4_GqnA_5_5"/>
      <w:bookmarkStart w:id="796" w:name="Tc_en1j6VD9nU-_usMmC5kaCg_5_2"/>
      <w:bookmarkStart w:id="797" w:name="Tc_OIRrVJAYeku1aaUM3L6ZoQ_5_0"/>
      <w:bookmarkStart w:id="798" w:name="Tc_6Zi3VE6_6kW9vKQqDAvk0w_4_0"/>
      <w:bookmarkStart w:id="799" w:name="Tc_WC0yw74MOkaeBEIGO6xzKw_3_5"/>
      <w:bookmarkStart w:id="800" w:name="Tc_HtLzheEY6EKrEQzZZqCC0g_3_2"/>
      <w:bookmarkStart w:id="801" w:name="Tc_2zubwdDLekK4GBr0YjSydA_2_2"/>
      <w:bookmarkStart w:id="802" w:name="Tc_bXaVL6sPOU-V0suMHURPvg_1_2"/>
      <w:bookmarkStart w:id="803" w:name="_71a6b9e4_4df5_4f37_9a92_3ee23909c94c"/>
      <w:bookmarkStart w:id="804" w:name="Tc_L8K7tKz85UaKg1aO059Z4w_52_5"/>
      <w:bookmarkStart w:id="805" w:name="Tc_rXIW_AFpik-P6XZDtp0d9w_52_2"/>
      <w:bookmarkStart w:id="806" w:name="Tc_tJ-83aJqwUas_-ZgD0XsuA_52_0"/>
      <w:bookmarkStart w:id="807" w:name="Tc_mOvEnomDxUG7CCybZvsD7A_51_5"/>
      <w:bookmarkStart w:id="808" w:name="Tc_w0jUQQfwbEaYRFxyR91leg_51_2"/>
      <w:bookmarkStart w:id="809" w:name="Tc_a69HFywZzUGMNHA7rjtpSQ_51_0"/>
      <w:bookmarkStart w:id="810" w:name="Tc_oEFr3p9DZk6vuiJVdCSPsA_50_0"/>
      <w:bookmarkStart w:id="811" w:name="Tc_44qJngTto0SuaJguENe8kQ_49_0"/>
      <w:bookmarkStart w:id="812" w:name="Tc_lxUKWbiHqEqoHI0c8g6WnA_47_5"/>
      <w:bookmarkStart w:id="813" w:name="Tc_sxq33vpY3U6xGXFVQ-uSFw_47_2"/>
      <w:bookmarkStart w:id="814" w:name="Tc_rCmz3EsUB0WHSkgjF1m8Cg_47_0"/>
      <w:bookmarkStart w:id="815" w:name="Tc_WXOPRigarEaILuTM7IB0rA_46_0"/>
      <w:bookmarkStart w:id="816" w:name="Tc_blyDK-6IcUyNumetjFLQsw_45_0"/>
      <w:bookmarkStart w:id="817" w:name="Tc_u0WFKZ2WPUSfcywr-DDmNQ_43_0"/>
      <w:bookmarkStart w:id="818" w:name="Tc_7OuSJ-dhkkeuveV8bd-7SA_41_0"/>
      <w:bookmarkStart w:id="819" w:name="Tc_N7etdNzKwEOT9-sdgMWHNg_40_0"/>
      <w:bookmarkStart w:id="820" w:name="Tc_nS1RGXaJ4UOtYv_Kqo8n0w_39_0"/>
      <w:bookmarkStart w:id="821" w:name="Tc_1rgIPM-bMEWu4V9C4s-ARw_38_0"/>
      <w:bookmarkStart w:id="822" w:name="Tc_XfMR8UsuPkaEF_VOKm4v9w_37_0"/>
      <w:bookmarkStart w:id="823" w:name="Tc_35eb2Q_nz0-ZFeNWdloIeg_35_0"/>
      <w:bookmarkStart w:id="824" w:name="Tc_kvHSq107-UKpASWMVEoO_w_34_0"/>
      <w:bookmarkStart w:id="825" w:name="Tc_3zUavgPldE6XrYsajaD6xg_33_0"/>
      <w:bookmarkStart w:id="826" w:name="Tc_zCsXz7BcLEG7OyZHC4-pdA_32_0"/>
      <w:bookmarkStart w:id="827" w:name="Tc_nGz_fyCuh0a529ySvlwUsA_31_0"/>
      <w:bookmarkStart w:id="828" w:name="Tc_6xk6qGyEGkGeDxastDtlUQ_30_0"/>
      <w:bookmarkStart w:id="829" w:name="Tc_YD8RHdpgqkWtkWp9IMLM0g_29_0"/>
      <w:bookmarkStart w:id="830" w:name="Tc_KXO4HspGtEuOYi7wUyNrLw_28_0"/>
      <w:bookmarkStart w:id="831" w:name="Tc_P9NUVbRP-EmP0JXUZVGXxA_27_0"/>
      <w:bookmarkStart w:id="832" w:name="Tc_rMz4UyaGo0eQc_VPSFvQvw_25_0"/>
      <w:bookmarkStart w:id="833" w:name="Tc_zzbEJdvKXEOo81QluYYd8A_24_0"/>
      <w:bookmarkStart w:id="834" w:name="Tc_f5Kkj32m1USUrag7vu7EeQ_23_0"/>
      <w:bookmarkStart w:id="835" w:name="Tc_M_vKVzWqIU2sIByr8_M0XA_22_0"/>
      <w:bookmarkStart w:id="836" w:name="Tc__e6qw6Sf30GpcBpMFLNCkA_21_0"/>
      <w:bookmarkStart w:id="837" w:name="Tc_PbtEg4RpP0aTMiVFqF_ejw_20_0"/>
      <w:bookmarkStart w:id="838" w:name="Tc_JPo9P-LGZU6K1e_oqb-ilg_19_0"/>
      <w:bookmarkStart w:id="839" w:name="Tc_UQMAdKfM20uNIF-9katJgQ_18_0"/>
      <w:bookmarkStart w:id="840" w:name="Tc_phaTNMAGL0O5IKc5LRIamQ_17_0"/>
      <w:bookmarkStart w:id="841" w:name="Tc_4PLunKgJzEWh8If--WDB8g_16_0"/>
      <w:bookmarkStart w:id="842" w:name="Tc_2jMN7I5yB06j3_rMSzJdqw_15_0"/>
      <w:bookmarkStart w:id="843" w:name="Tc_BF1n3wby1kizZC5MvJd66w_14_0"/>
      <w:bookmarkStart w:id="844" w:name="Tc_MOkKz_dkVkWZ-Dcuu8Is0g_13_0"/>
      <w:bookmarkStart w:id="845" w:name="Tc_XK4CG-Y3cEybjyWd7S-r6g_12_0"/>
      <w:bookmarkStart w:id="846" w:name="Tc_hs4Sl2w-H0aPq7X6Dqrp_A_11_0"/>
      <w:bookmarkStart w:id="847" w:name="Tc_82Beg4-a6069Li6pT0eiYw_10_0"/>
      <w:bookmarkStart w:id="848" w:name="Tc_qOk-mFstC0aSezMl4LMUyg_9_0"/>
      <w:bookmarkStart w:id="849" w:name="Tc_WWyUMJ0CUEKkadBk0EU0yg_8_0"/>
      <w:bookmarkStart w:id="850" w:name="Tc_eMm4KwOnAUKa2_Fz3WI6Gw_7_0"/>
      <w:bookmarkStart w:id="851" w:name="Tc_VWbmouhVjkibK1L3O9gV4A_6_0"/>
      <w:bookmarkStart w:id="852" w:name="Tc_g-NWnJ-9DE-odTLS4_GqnA_5_5"/>
      <w:bookmarkStart w:id="853" w:name="Tc_en1j6VD9nU-_usMmC5kaCg_5_2"/>
      <w:bookmarkStart w:id="854" w:name="Tc_OIRrVJAYeku1aaUM3L6ZoQ_5_0"/>
      <w:bookmarkStart w:id="855" w:name="Tc_6Zi3VE6_6kW9vKQqDAvk0w_4_0"/>
      <w:bookmarkStart w:id="856" w:name="Tc_WC0yw74MOkaeBEIGO6xzKw_3_5"/>
      <w:bookmarkStart w:id="857" w:name="Tc_HtLzheEY6EKrEQzZZqCC0g_3_2"/>
      <w:bookmarkStart w:id="858" w:name="Tc_2zubwdDLekK4GBr0YjSydA_2_2"/>
      <w:bookmarkStart w:id="859" w:name="Tc_bXaVL6sPOU-V0suMHURPvg_1_2"/>
      <w:bookmarkStart w:id="860" w:name="_71a6b9e4_4df5_4f37_9a92_3ee23909c94c"/>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p>
    <w:tbl>
      <w:tblPr>
        <w:tblW w:w="8652" w:type="dxa"/>
        <w:jc w:val="left"/>
        <w:tblInd w:w="0" w:type="dxa"/>
        <w:tblLayout w:type="fixed"/>
        <w:tblCellMar>
          <w:top w:w="0" w:type="dxa"/>
          <w:left w:w="0" w:type="dxa"/>
          <w:bottom w:w="0" w:type="dxa"/>
          <w:right w:w="0" w:type="dxa"/>
        </w:tblCellMar>
      </w:tblPr>
      <w:tblGrid>
        <w:gridCol w:w="5791"/>
        <w:gridCol w:w="326"/>
        <w:gridCol w:w="196"/>
        <w:gridCol w:w="946"/>
        <w:gridCol w:w="326"/>
        <w:gridCol w:w="196"/>
        <w:gridCol w:w="871"/>
      </w:tblGrid>
      <w:tr>
        <w:trPr/>
        <w:tc>
          <w:tcPr>
            <w:tcW w:w="57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24460" cy="175260"/>
                      <wp:effectExtent l="0" t="0" r="0" b="0"/>
                      <wp:wrapNone/>
                      <wp:docPr id="79" name="Frame7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00710" cy="175260"/>
                      <wp:effectExtent l="0" t="0" r="0" b="0"/>
                      <wp:wrapNone/>
                      <wp:docPr id="80" name="Frame80"/>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81" name="Frame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24460" cy="175260"/>
                      <wp:effectExtent l="0" t="0" r="0" b="0"/>
                      <wp:wrapNone/>
                      <wp:docPr id="82" name="Frame8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553085" cy="175260"/>
                      <wp:effectExtent l="0" t="0" r="0" b="0"/>
                      <wp:wrapNone/>
                      <wp:docPr id="83" name="Frame83"/>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3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Six-Months Ended</w:t>
            </w:r>
          </w:p>
        </w:tc>
      </w:tr>
      <w:tr>
        <w:trPr/>
        <w:tc>
          <w:tcPr>
            <w:tcW w:w="57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7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811,315</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567,563</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Adjustments to reconcile net income to net cash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32,384</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30,432</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Non-cash lease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2,828</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3,222</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Gain on disposal of property and equipment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(767)</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Loss on impairment of intangibles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2,800</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34,603</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32,609</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21,934</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Effect on cash of changes in operating assets and liabilities net of acquisition: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receivable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(317,808)</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(289,236)</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Inventories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93,077</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(299,076)</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(36,779)</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(55,663)</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income taxes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(3,345)</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(1,220)</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132,173</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85,499</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liabilities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20,491</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(789)</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promotional allowances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23,643</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77,746</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compensation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(17,616)</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(15,311)</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taxes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(1,219)</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(14,666)</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liabilities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(257)</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(3,211)</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(12,361)</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(9,101)</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provided by operating activities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763,162</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130,663</w:t>
            </w:r>
          </w:p>
        </w:tc>
      </w:tr>
      <w:tr>
        <w:trPr/>
        <w:tc>
          <w:tcPr>
            <w:tcW w:w="57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INVESTING ACTIVITIES: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Sales of available-for-sale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1,037,803</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1,409,707</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available-for-sale investments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(1,091,126)</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(964,267)</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Acquisition of CANarchy, net of cash</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(329,472)</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property and equipment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(82,425)</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(99,446)</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sale of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372</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Additions to intangibles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(5,926)</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(9,894)</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Increase in 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(17,570)</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(12,738)</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investing activities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(158,209)</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(5,738)</w:t>
            </w:r>
          </w:p>
        </w:tc>
      </w:tr>
      <w:tr>
        <w:trPr/>
        <w:tc>
          <w:tcPr>
            <w:tcW w:w="57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FINANCING ACTIVITIES: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(Payments) borrowings on debt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(6,661)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4,924</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common stock</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59,666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22,622</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common stock held in treasury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(90,825)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(296,499)</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financing activities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(37,820)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(268,953)</w:t>
            </w:r>
          </w:p>
        </w:tc>
      </w:tr>
      <w:tr>
        <w:trPr/>
        <w:tc>
          <w:tcPr>
            <w:tcW w:w="57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Effect of exchange rate changes on cash and cash equivalents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(4,500)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(50,395)</w:t>
            </w:r>
          </w:p>
        </w:tc>
      </w:tr>
      <w:tr>
        <w:trPr/>
        <w:tc>
          <w:tcPr>
            <w:tcW w:w="57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INCREASE (DECREASE) IN CASH AND CASH EQUIVALENTS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562,633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(194,423)</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 beginning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1,307,141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1,326,462</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 end of period</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1,869,774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1,132,039</w:t>
            </w:r>
          </w:p>
        </w:tc>
      </w:tr>
      <w:tr>
        <w:trPr/>
        <w:tc>
          <w:tcPr>
            <w:tcW w:w="57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SUPPLEMENTAL INFORMATION: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paid during the period for:</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227</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232,896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209,513</w:t>
            </w:r>
          </w:p>
        </w:tc>
      </w:tr>
    </w:tbl>
    <w:p>
      <w:pPr>
        <w:pStyle w:val="TextBody"/>
        <w:bidi w:val="0"/>
        <w:spacing w:before="0" w:after="0"/>
        <w:ind w:left="0" w:right="0" w:hanging="0"/>
        <w:jc w:val="left"/>
        <w:rPr/>
      </w:pPr>
      <w:r>
        <w:rPr/>
        <w:t>​</w:t>
      </w:r>
    </w:p>
    <w:p>
      <w:pPr>
        <w:pStyle w:val="TextBody"/>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MONSTER BEVERAGE CORPORATION AND SUBSIDIARIES</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CONDENSED CONSOLIDATED STATEMENTS OF CASH FLOWS</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FOR THE SIX-MONTHS ENDED</w:t>
      </w:r>
      <w:r>
        <w:rPr>
          <w:rFonts w:ascii="Times New Roman;Times;serif" w:hAnsi="Times New Roman;Times;serif"/>
          <w:sz w:val="20"/>
        </w:rPr>
        <w:t xml:space="preserve"> </w:t>
      </w:r>
      <w:r>
        <w:rPr>
          <w:rFonts w:ascii="Times New Roman;Times;serif" w:hAnsi="Times New Roman;Times;serif"/>
          <w:b/>
          <w:sz w:val="20"/>
        </w:rPr>
        <w:t>JUNE 30, 2023 AND 2022</w:t>
      </w:r>
    </w:p>
    <w:p>
      <w:pPr>
        <w:pStyle w:val="TextBody"/>
        <w:pBdr>
          <w:bottom w:val="single" w:sz="12" w:space="1" w:color="000000"/>
        </w:pBdr>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 Thousands) (Unaudited) (Continued)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SUPPLEMENTAL DISCLOSURE OF NON-CASH ITEMS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Included in accrued liabilities as of June 30, 2023 and 2022 were $9.6 million and $3.4 million, respectively, related to net additions to other intangible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Included in accounts payable as of June 30, 2023 were $3.2 million related to net additions to other intangible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Included in accounts payable as of June 30, 2022 were available-for-sale short-term investment purchases of $3.4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Included in accounts payable as of June 30, 2023 and 2022 were $2.0 million and $0.1 million, respectively, related to equipment purchases.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861" w:name="a1BASISOFPRESENTATION_156061"/>
      <w:bookmarkStart w:id="862" w:name="a1BASISOFPRESENTATION_156061"/>
      <w:bookmarkEnd w:id="862"/>
    </w:p>
    <w:tbl>
      <w:tblPr>
        <w:tblW w:w="2717" w:type="dxa"/>
        <w:jc w:val="left"/>
        <w:tblInd w:w="0" w:type="dxa"/>
        <w:tblLayout w:type="fixed"/>
        <w:tblCellMar>
          <w:top w:w="0" w:type="dxa"/>
          <w:left w:w="0" w:type="dxa"/>
          <w:bottom w:w="0" w:type="dxa"/>
          <w:right w:w="0" w:type="dxa"/>
        </w:tblCellMar>
      </w:tblPr>
      <w:tblGrid>
        <w:gridCol w:w="271"/>
        <w:gridCol w:w="2446"/>
      </w:tblGrid>
      <w:tr>
        <w:trPr/>
        <w:tc>
          <w:tcPr>
            <w:tcW w:w="27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244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BASIS OF PRESENTATION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Reference is made to the Notes to Consolidated Financial Statements, in Monster Beverage Corporation and Subsidiaries (the “Company”) Annual Report on Form 10-K for the year ended December 31, 2022 for a summary of significant accounting policies utilized by the Company and its consolidated subsidiaries and other disclosures, which should be read in conjunction with this Quarterly Report on Form 10-Q (“Form 10-Q”).</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condensed consolidated financial statements included in this Form 10-Q have been prepared in accordance with accounting principles generally accepted in the United States of America (“GAAP”) and Securities and Exchange Commission (“SEC”) rules and regulations applicable to interim financial reporting. They do not include all the information and footnote disclosures normally included in annual financial statements prepared in accordance with GAAP. The information set forth in these interim condensed consolidated financial statements for the three- and six-months ended June 30, 2023 and 2022, respectively, is unaudited and reflects all adjustments, which include only normal recurring adjustments and which in the opinion of management are necessary to make the interim condensed consolidated financial statements not misleading. Results of operations for periods covered by this report may not necessarily be indicative of results of operations for the full year.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preparation of financial statements in conformity with GAAP necessarily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these estimates.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Treasury Stock Retirement</w:t>
      </w:r>
      <w:r>
        <w:rPr>
          <w:rFonts w:ascii="Times New Roman;Times;serif" w:hAnsi="Times New Roman;Times;serif"/>
          <w:sz w:val="20"/>
        </w:rPr>
        <w:t xml:space="preserve"> – On March 10, 2023, the Company retired 170.0 million shares (stock split adjusted) of treasury stock owned by the Company. The retired treasury stock had a carrying value of approximately $4.69 billion. The Company’s accounting policy upon the formal retirement of treasury stock is to deduct its par value from common stock and to reflect any excess of cost over par as a deduction from retained earnings.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Stock Split</w:t>
      </w:r>
      <w:r>
        <w:rPr>
          <w:rFonts w:ascii="Times New Roman;Times;serif" w:hAnsi="Times New Roman;Times;serif"/>
          <w:sz w:val="20"/>
        </w:rPr>
        <w:t xml:space="preserve"> – On February 28, 2023, the Company announced a two-for-one stock split of the Company’s common stock to be effected in the form of a 100% stock dividend. The common stock dividend was issued on March 27, 2023 (the “Stock Split”) and the Company’s common stock began trading at the split adjusted price on March 28, 2023. Accordingly, all per share amounts, average common stock outstanding, common stock outstanding, common stock repurchased and equity-based compensation presented in the condensed consolidated financial statements and notes have been adjusted retroactively, where applicable, to reflect the Stock Split. Stockholders’ equity has been retroactively adjusted, where applicable, to give effect to the Stock Split for all periods presented by reclassifying the par value of the additional shares issued in connection with the Stock Split to Common Stock from Retained Earnings and Additional Paid-in Capital.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Derivative Financial Instruments</w:t>
      </w:r>
      <w:r>
        <w:rPr>
          <w:rFonts w:ascii="Times New Roman;Times;serif" w:hAnsi="Times New Roman;Times;serif"/>
          <w:sz w:val="20"/>
        </w:rPr>
        <w:t xml:space="preserve"> – The Company uses derivative financial instruments for the purpose of hedging risk exposures to fluctuations in foreign currency exchange rates and aluminum commodity prices. The Company’s derivative instruments are recorded in the consolidated balance sheets at fair value. The Company values each derivative financial instrument by obtaining valuation information from a reliable and observable market source. For a derivative designated as a cash flow hedge, the derivative’s mark to fair value is initially recorded as a component of accumulated other comprehensive income (loss) and subsequently reclassified into earnings when the hedged item affects earnings, unless it is probable that the forecasted transaction will not occur. Derivatives that do not qualify for hedge accounting are marked to fair value with gains and losses immediately recorded in earnings. In the consolidated statements of cash flows, derivative activities are classified based on the cash flows of the items being hedged. Upon the dedesignation of an effective derivative contract, the gains or losses are deferred in accumulated other comprehensive income (loss) until the originally hedged item affects earnings, unless it is probable the hedged item will not occur, at which time it is recognized immediately. Any gains or losses incurred after the dedesignation date are recorded in earnings immediately.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There have been no changes in recently issued or adopted accounting pronouncements that would materially impact the Company from those disclosed in our Annual Report on Form 10-K for the fiscal year ended December 31, 2022.</w:t>
      </w:r>
    </w:p>
    <w:p>
      <w:pPr>
        <w:pStyle w:val="TextBody"/>
        <w:pBdr/>
        <w:bidi w:val="0"/>
        <w:spacing w:before="0" w:after="0"/>
        <w:ind w:left="0" w:right="0" w:hanging="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tbl>
      <w:tblPr>
        <w:tblW w:w="2672" w:type="dxa"/>
        <w:jc w:val="left"/>
        <w:tblInd w:w="0" w:type="dxa"/>
        <w:tblLayout w:type="fixed"/>
        <w:tblCellMar>
          <w:top w:w="0" w:type="dxa"/>
          <w:left w:w="0" w:type="dxa"/>
          <w:bottom w:w="0" w:type="dxa"/>
          <w:right w:w="0" w:type="dxa"/>
        </w:tblCellMar>
      </w:tblPr>
      <w:tblGrid>
        <w:gridCol w:w="271"/>
        <w:gridCol w:w="2401"/>
      </w:tblGrid>
      <w:tr>
        <w:trPr/>
        <w:tc>
          <w:tcPr>
            <w:tcW w:w="27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240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REVENUE RECOGNITION</w:t>
            </w:r>
          </w:p>
        </w:tc>
      </w:tr>
    </w:tbl>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Revenues are accounted for in accordance with Financial Accounting Standards Board (“FASB”) Accounting Standards Codification (“ASC”) 606, “Revenue from Contracts with Consumers”. The Company has four operating and reportable segments: (i) Monster Energy® Drinks segment (“Monster Energy® Drinks”), which is primarily comprised of the Company’s Monster Energy® drinks, Reign Total Body Fuel® high performance energy drinks, Monster Tour Water® and Reign Storm® total wellness energy drinks, (ii) Strategic Brands segment (“Strategic Brands”), which is primarily comprised of the various energy drink brands acquired from The Coca-Cola Company (“TCCC”) in 2015 as well as the Company’s affordable energy brands, (iii) Alcohol Brands segment (“Alcohol Brands”), which is primarily comprised of the various craft beers and hard seltzers purchased as part of the acquisition of CANarchy Craft Brewery Collective LLC (“CANarchy”) on February 17, 2022 (the “CANarchy Transaction”) as well as The Beast Unleashed</w:t>
      </w:r>
      <w:r>
        <w:rPr>
          <w:rFonts w:ascii="Times New Roman;Times;serif" w:hAnsi="Times New Roman;Times;serif"/>
          <w:sz w:val="15"/>
        </w:rPr>
        <w:t>TM</w:t>
      </w:r>
      <w:r>
        <w:rPr>
          <w:rFonts w:ascii="Times New Roman;Times;serif" w:hAnsi="Times New Roman;Times;serif"/>
          <w:sz w:val="20"/>
        </w:rPr>
        <w:t xml:space="preserve"> flavored malt beverages (“FMBs”) and (iv) Other segment (“Other”), which is primarily comprised of certain products sold by American Fruits and Flavors, LLC, a wholly-owned subsidiary of the Company, to independent third-party customers (the “AFF Third-Party Products”).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Monster Energy® Drinks segment primarily generates net operating revenues by selling ready-to-drink packaged energy drinks primarily to bottlers and full service beverage bottlers/distributors (“bottlers/distributors”). In some cases, the Company sells ready-to-drink packaged energy drinks directly to retail grocery and specialty chains, wholesalers, club stores, mass merchandisers, convenience and gas chains, drug stores, foodservice customers, value stores, e-commerce retailers and the military.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by such bottlers to other bottlers/distributors and to retail grocery and specialty chains, wholesalers, club stores, mass merchandisers, convenience and gas chains, foodservice customers, drug stores, value stores, e-commerce retailers and the military. To a lesser extent, the Strategic Brands segment generates net operating revenues by selling certain ready-to-drink packaged energy drinks to bottlers/distributors.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Alcohol Brands segment primarily generates operating revenues by selling kegged and ready-to-drink canned beers, hard seltzers and FMBs primarily to beer distributors in the United States.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majority of the Company’s revenue is recognized when it satisfies a single performance obligation by transferring control of its products to a customer. Control is generally transferred when the Company’s products are either shipped or delivered based on the terms contained within the underlying contracts or agreements. Certain of the Company’s bottlers/distributors may also perform a separate function as a co-packer on the Company’s behalf. In such cases, control of the Company’s products passes to such bottlers/distributors when they notify the Company that they have taken possession or transferred the relevant portion of the Company’s finished goods. The Company’s general payment terms are short-term in duration. The Company does not have significant financing components or payment terms. The Company did not have any material unsatisfied performance obligations as of June 30, 2023 and December 31, 2022.</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excludes from revenues all taxes assessed by a governmental authority that are imposed on the sale of its products and collected from customers.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Distribution expenses to transport the Company’s products, where applicable, and warehousing expense after manufacture are accounted for within operating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Promotional and other allowances (variable consideration) recorded as a reduction to net sales for the Company’s energy drink products primarily include consideration given to the Company’s non-alcohol bottlers/distributors or retail customers including, but not limited to, the following:</w:t>
      </w:r>
    </w:p>
    <w:tbl>
      <w:tblPr>
        <w:tblW w:w="7836" w:type="dxa"/>
        <w:jc w:val="left"/>
        <w:tblInd w:w="0" w:type="dxa"/>
        <w:tblLayout w:type="fixed"/>
        <w:tblCellMar>
          <w:top w:w="28" w:type="dxa"/>
          <w:left w:w="28" w:type="dxa"/>
          <w:bottom w:w="28" w:type="dxa"/>
          <w:right w:w="28" w:type="dxa"/>
        </w:tblCellMar>
      </w:tblPr>
      <w:tblGrid>
        <w:gridCol w:w="124"/>
        <w:gridCol w:w="256"/>
        <w:gridCol w:w="74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discounts granted off list prices to support price promotions to end-consumers by retailers;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reimbursements given to the Company’s bottlers/distributors for agreed portions of their promotional spend with retailers, including slotting, shelf space allowances and other fees for both new and existing products;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agreed share of fees given to bottlers/distributors and/or directly to retailers for advertising, in-store marketing and promotional activities;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agreed share of slotting, shelf space allowances and other fees given directly to retailers, club stores and/or wholesalers;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incentives given to the Company’s bottlers/distributors and/or retailers for achieving or exceeding certain predetermined sales goals;</w:t>
            </w:r>
          </w:p>
        </w:tc>
      </w:tr>
    </w:tbl>
    <w:tbl>
      <w:tblPr>
        <w:tblW w:w="2796" w:type="dxa"/>
        <w:jc w:val="left"/>
        <w:tblInd w:w="0" w:type="dxa"/>
        <w:tblLayout w:type="fixed"/>
        <w:tblCellMar>
          <w:top w:w="28" w:type="dxa"/>
          <w:left w:w="28" w:type="dxa"/>
          <w:bottom w:w="28" w:type="dxa"/>
          <w:right w:w="28" w:type="dxa"/>
        </w:tblCellMar>
      </w:tblPr>
      <w:tblGrid>
        <w:gridCol w:w="124"/>
        <w:gridCol w:w="256"/>
        <w:gridCol w:w="2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discounted or free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contractual fees given to the Company’s bottlers/distributors related to sales made directly by the Company to certain customers that fall within the bottlers’/distributors’ sales territories;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commissions to TCCC based on the Company’s sales to wholly-owned subsidiaries of TCCC (the “TCCC Subsidiaries”) and/or to TCCC bottlers/distributors accounted for under the equity method by TCCC (the “TCCC Related Parties”).</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Company’s promotional allowance programs for its energy drink products are executed through separate agreements in the ordinary course of business. These agreements generally provide for one or more of the arrangements described above and are of varying durations, typically ranging from one week to one year. The Company’s promotional and other allowances for its energy drink products are calculated based on various programs with bottlers/distributors and retail customers, and accruals are established at the time of initial product sale for the Company’s anticipated liabilities. These accruals are based on agreed upon terms as well as the Company’s historical experience with similar programs and require management’s judgment with respect to estimating consumer participation and/or bottler/distributor and retail customer performance levels. Differences between such estimated expenses and actual expenses for promotional and other allowance costs have historically been insignificant and are recognized in earnings in the period such differences are determined. Promotional and other allowances for our Alcohol Brands segment primarily include price promotions where permitted.</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Amounts received pursuant to new and/or amended distribution agreements entered into with certain bottlers/distributors relating to the costs associated with terminating the Company’s prior distributors, are accounted for as deferred revenue and recognized as revenue ratably over the anticipated life of the respective distribution agreements, generally over 20 years.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Company also enters into license agreements that generate revenues associated with third-party sales of non-beverage products bearing the Company’s trademarks including, but not limited to, clothing, hats, t-shirts, jackets, helmets and automotive wheels.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Management believes that adequate provision has been made for cash discounts, returns and spoilage based on the Company’s historical experience.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i/>
          <w:sz w:val="20"/>
        </w:rPr>
      </w:pPr>
      <w:bookmarkStart w:id="863" w:name="Tc_W3lTpVCMzUyJTfopnLt0nw_10_14"/>
      <w:bookmarkStart w:id="864" w:name="Tc_4sVhcflucE2UWJS-StsxuA_10_11"/>
      <w:bookmarkStart w:id="865" w:name="Tc_iJWGsPc5vk2HOpG__pnZ9g_10_8"/>
      <w:bookmarkStart w:id="866" w:name="Tc_Rdp4R4ZGU0auEPNmxL-qMg_10_5"/>
      <w:bookmarkStart w:id="867" w:name="Tc_dP26weKB606Jw3g8c_l_mA_10_2"/>
      <w:bookmarkStart w:id="868" w:name="Tc_zgQkKnoY_UepswZGzCPizw_10_0"/>
      <w:bookmarkStart w:id="869" w:name="Tc_djybEQg_rkS9gpydH1-4FA_9_0"/>
      <w:bookmarkStart w:id="870" w:name="Tc_jlu0B6OJ2UCsjnPM6YGLMA_8_0"/>
      <w:bookmarkStart w:id="871" w:name="Tc_3VJKURhmGU6pDQfgUNs44Q_7_0"/>
      <w:bookmarkStart w:id="872" w:name="Tc_V9258aA91kmerOfiVIRfLw_6_14"/>
      <w:bookmarkStart w:id="873" w:name="Tc_cFPM41awBEO4o6F762r_YQ_6_11"/>
      <w:bookmarkStart w:id="874" w:name="Tc_ixG9OtUtIkiFw6oUW-qGVg_6_8"/>
      <w:bookmarkStart w:id="875" w:name="Tc_-oqsEnpL9EeEWedp7scVuw_6_5"/>
      <w:bookmarkStart w:id="876" w:name="Tc_1-RbacsvakOlRx4K_q6o8A_6_2"/>
      <w:bookmarkStart w:id="877" w:name="Tc_yOYCMutHaUGhvyTB0c8uaw_6_0"/>
      <w:bookmarkStart w:id="878" w:name="Tc_eWLuZp21lE-0CT-hBkFvaQ_5_14"/>
      <w:bookmarkStart w:id="879" w:name="Tc_hWEvmhOWK06r6DpzX8DhTw_5_11"/>
      <w:bookmarkStart w:id="880" w:name="Tc_UVJkU_xDHUmRCdH1_OQyaA_5_8"/>
      <w:bookmarkStart w:id="881" w:name="Tc_UD1eWfgyBEGbJ7RtnrF87Q_5_5"/>
      <w:bookmarkStart w:id="882" w:name="Tc_KS2coMYUoUuaNKR2sayZhA_5_2"/>
      <w:bookmarkStart w:id="883" w:name="Tc_B0LiPGTB00GXaFLg82A6Wg_5_0"/>
      <w:bookmarkStart w:id="884" w:name="Tc_3LmD3k_3dECoWkuzxAGZhA_4_11"/>
      <w:bookmarkStart w:id="885" w:name="Tc_6PH1oA2XM0CShTutA5LMrg_4_2"/>
      <w:bookmarkStart w:id="886" w:name="Tc_hlnL35O9lUqLLLSwCWmSsQ_3_11"/>
      <w:bookmarkStart w:id="887" w:name="Tc_NWN7Qi5UEkipduO8nHz8hg_2_11"/>
      <w:bookmarkStart w:id="888" w:name="Tc_Cdr3buSvKkGfQKVB6hPSxA_1_2"/>
      <w:bookmarkStart w:id="889" w:name="_1b076af2_2317_4dc0_93fb_32089daa9b89"/>
      <w:bookmarkStart w:id="890" w:name="Tc_1L-6HH11h0OZRP6-Zdf33g_10_14"/>
      <w:bookmarkStart w:id="891" w:name="Tc_RgRTibKtbESLfingC1TC0w_10_11"/>
      <w:bookmarkStart w:id="892" w:name="Tc_-ehZSLdTjEyhJ6UY_nzS4w_10_8"/>
      <w:bookmarkStart w:id="893" w:name="Tc_xOVerzQYgkqJe2wXTOjwSA_10_5"/>
      <w:bookmarkStart w:id="894" w:name="Tc_V74L3B_jsky66omEusSrPQ_10_2"/>
      <w:bookmarkStart w:id="895" w:name="Tc_0GAzGwX2x0u3tPpj_nzXUQ_10_0"/>
      <w:bookmarkStart w:id="896" w:name="Tc_pkXqhiIVf0ipLSN22uo5XA_9_0"/>
      <w:bookmarkStart w:id="897" w:name="Tc_d02s4wnz6EGp2wliRc5Qmg_8_0"/>
      <w:bookmarkStart w:id="898" w:name="Tc_1Cd2qZ8VYUuaw7X2vt5SOQ_7_0"/>
      <w:bookmarkStart w:id="899" w:name="Tc_pMpg8NOZyUuuCSmd7ODy0A_6_14"/>
      <w:bookmarkStart w:id="900" w:name="Tc_SYsMez4xfkm8FQ56tY0Z7Q_6_11"/>
      <w:bookmarkStart w:id="901" w:name="Tc_cHwRiucL_kazNzW3KYxiTg_6_8"/>
      <w:bookmarkStart w:id="902" w:name="Tc_iEjDS2SOA0uuOMlq_S_C5A_6_5"/>
      <w:bookmarkStart w:id="903" w:name="Tc_81GVM2v3UkWMOFcbJrkDvQ_6_2"/>
      <w:bookmarkStart w:id="904" w:name="Tc_SLI8jf4iUEumha9EEv2VLQ_6_0"/>
      <w:bookmarkStart w:id="905" w:name="Tc_5rf7cFm6X0ST2Dt-kQy62Q_5_14"/>
      <w:bookmarkStart w:id="906" w:name="Tc_blWkueBPFUOccwtzKZrRSQ_5_11"/>
      <w:bookmarkStart w:id="907" w:name="Tc_nV8100KQikihH0LL96rqHw_5_8"/>
      <w:bookmarkStart w:id="908" w:name="Tc_KJqKXYESAUmdwppR5IMmuQ_5_5"/>
      <w:bookmarkStart w:id="909" w:name="Tc_Cxqp8TufaECzkxCoZeXKvA_5_2"/>
      <w:bookmarkStart w:id="910" w:name="Tc_ZR-Gk0_I_kaR_NYe7xJaKw_5_0"/>
      <w:bookmarkStart w:id="911" w:name="Tc_bYI6WHsMeU-DnV2JH6uUuQ_4_11"/>
      <w:bookmarkStart w:id="912" w:name="Tc_uPjt_e17f0ue269yK7RacA_4_2"/>
      <w:bookmarkStart w:id="913" w:name="Tc_c9ZJH4XIKUSP9kZ6zHZhHA_3_11"/>
      <w:bookmarkStart w:id="914" w:name="Tc_K0cnsh-QOECK7ley0edezw_2_11"/>
      <w:bookmarkStart w:id="915" w:name="Tc_pZ_TpzYcTEKozYjJVNPBvw_1_2"/>
      <w:bookmarkStart w:id="916" w:name="_7a28443c_d244_42ef_a757_f9871d291b19"/>
      <w:bookmarkStart w:id="917" w:name="Tc_me-XYWvfj0iUxR2GfIuIiQ_10_14"/>
      <w:bookmarkStart w:id="918" w:name="Tc_nhA2-dGIV0a9Pniv9NzlzA_10_11"/>
      <w:bookmarkStart w:id="919" w:name="Tc_1CvKqU59UE-Gas6fE89SKA_10_8"/>
      <w:bookmarkStart w:id="920" w:name="Tc_pNsNTzkCDUWqHG380Sy3Ag_10_5"/>
      <w:bookmarkStart w:id="921" w:name="Tc_QORUl9mNEk-JDd0jhFAWMA_10_2"/>
      <w:bookmarkStart w:id="922" w:name="Tc_H-Jap9CLAkO5FYfvelCG9Q_10_0"/>
      <w:bookmarkStart w:id="923" w:name="Tc_TYmAKLuOBU-GrwFF6NSLQg_9_0"/>
      <w:bookmarkStart w:id="924" w:name="Tc_BUkH-ntWSEaqYZtW2xyyiw_8_0"/>
      <w:bookmarkStart w:id="925" w:name="Tc_-adqV4LmA0GVgtUJJvTXYA_7_0"/>
      <w:bookmarkStart w:id="926" w:name="Tc_2LIjt5SR-kSindhzNljRIQ_6_14"/>
      <w:bookmarkStart w:id="927" w:name="Tc_LOZz4JJVwkqwey7iH4X1ew_6_11"/>
      <w:bookmarkStart w:id="928" w:name="Tc_34t7giSkVkiIFXDetHxS9A_6_8"/>
      <w:bookmarkStart w:id="929" w:name="Tc_CLAbRgDy5U604EYk03Apag_6_5"/>
      <w:bookmarkStart w:id="930" w:name="Tc_jcAVGrxXwUmEFJui_i5zLg_6_2"/>
      <w:bookmarkStart w:id="931" w:name="Tc_oIs4Ke3DEUKzo4rgXOw6yA_6_0"/>
      <w:bookmarkStart w:id="932" w:name="Tc_mxhOymtvMEiksaXbXvDkfw_5_14"/>
      <w:bookmarkStart w:id="933" w:name="Tc_y_rYUcAIjkKbprPqWhFSwg_5_11"/>
      <w:bookmarkStart w:id="934" w:name="Tc_oe8CnerRzE2XwDH2tnsIIQ_5_8"/>
      <w:bookmarkStart w:id="935" w:name="Tc_ZMebR9pdX0yJULekub9RVg_5_5"/>
      <w:bookmarkStart w:id="936" w:name="Tc_Q3eq6nb1a028o3JiABzmEw_5_2"/>
      <w:bookmarkStart w:id="937" w:name="Tc_RIWLciU1WEq8ui-mINAruQ_5_0"/>
      <w:bookmarkStart w:id="938" w:name="Tc_ISwFA5nwi0WIwKQs2bQthA_4_11"/>
      <w:bookmarkStart w:id="939" w:name="Tc_FVZxcmG6y0-bFS1HFDFOqw_4_2"/>
      <w:bookmarkStart w:id="940" w:name="Tc_l1F1__xYjEaoWUZnihZ8ew_3_11"/>
      <w:bookmarkStart w:id="941" w:name="Tc_kuPSBbx7EUyLuPWzflRFww_2_11"/>
      <w:bookmarkStart w:id="942" w:name="Tc_oH6furHMYkqifp1EvBiJzQ_1_2"/>
      <w:bookmarkStart w:id="943" w:name="_220eae69_a6ce_45dc_85c8_6740366435ee"/>
      <w:bookmarkStart w:id="944" w:name="Tc_2GxDxgXFC0KGs1_eNR0U1g_10_14"/>
      <w:bookmarkStart w:id="945" w:name="Tc_U-4madrLp0mv9gD7R8qyDg_10_11"/>
      <w:bookmarkStart w:id="946" w:name="Tc_-sG5qqt-BUGRDZRGhg3rww_10_8"/>
      <w:bookmarkStart w:id="947" w:name="Tc_ijpKwDA2KECfnDM5bxqnXg_10_5"/>
      <w:bookmarkStart w:id="948" w:name="Tc_uAszWoU2sk6RqgFeEAjRcg_10_2"/>
      <w:bookmarkStart w:id="949" w:name="Tc_MWHTNVFtw0-frreUk_EoYg_10_0"/>
      <w:bookmarkStart w:id="950" w:name="Tc_loyptJB_GkiiuYgfcezGAA_9_0"/>
      <w:bookmarkStart w:id="951" w:name="Tc_TGQYa86yZkWGHncKW5xyeA_8_0"/>
      <w:bookmarkStart w:id="952" w:name="Tc_PC_PmsfJEECptS5DIwH6qQ_7_0"/>
      <w:bookmarkStart w:id="953" w:name="Tc_kHJ4IQCyckOxVBQLl_DERA_6_14"/>
      <w:bookmarkStart w:id="954" w:name="Tc_35hntTjd4EmJiZr3zIp7IQ_6_11"/>
      <w:bookmarkStart w:id="955" w:name="Tc_-fyZcUKjhk2ZVVQHwyrDxw_6_8"/>
      <w:bookmarkStart w:id="956" w:name="Tc_x-z4oCilEEaOQiQomTJnNQ_6_5"/>
      <w:bookmarkStart w:id="957" w:name="Tc_iGdYryUnLkKLxhD7R-fsZg_6_2"/>
      <w:bookmarkStart w:id="958" w:name="Tc_3neR8-X_eE-0faXBRJI1VQ_6_0"/>
      <w:bookmarkStart w:id="959" w:name="Tc_v9WmfvrOxkK_D_Bk5V0FsA_5_14"/>
      <w:bookmarkStart w:id="960" w:name="Tc_uhOYn6xUo0irEamr7gb1wA_5_11"/>
      <w:bookmarkStart w:id="961" w:name="Tc_3nuMh50ZmkKVTmlP4P8FmQ_5_8"/>
      <w:bookmarkStart w:id="962" w:name="Tc_tFeBWjJME0GE_rXvQfXFpQ_5_5"/>
      <w:bookmarkStart w:id="963" w:name="Tc_pBwPuyB5HEOaWAnRApVJZA_5_2"/>
      <w:bookmarkStart w:id="964" w:name="Tc_KXZWis5a90mb4NQ_aE8ZRg_5_0"/>
      <w:bookmarkStart w:id="965" w:name="Tc_fk5Y8syb202tfFsym3meJQ_4_11"/>
      <w:bookmarkStart w:id="966" w:name="Tc_lrA29dFUaUulRaj9yKvRUQ_4_2"/>
      <w:bookmarkStart w:id="967" w:name="Tc_lOV9Vj3HF02bsPzGKAYUjQ_3_11"/>
      <w:bookmarkStart w:id="968" w:name="Tc_X4HkJts-XUWSwrL1Czrv1g_2_11"/>
      <w:bookmarkStart w:id="969" w:name="Tc_feVQrAJs20GbHD7BnBaB7Q_1_2"/>
      <w:bookmarkStart w:id="970" w:name="_a455006d_229b_4f87_9ac0_b9e396400e85"/>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r>
        <w:rPr>
          <w:rFonts w:ascii="Times New Roman;Times;serif" w:hAnsi="Times New Roman;Times;serif"/>
          <w:i/>
          <w:sz w:val="20"/>
        </w:rPr>
        <w:t>Disaggregation of Revenue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tables disaggregate the Company’s revenue by geographical markets and reportable segments:</w:t>
      </w:r>
    </w:p>
    <w:p>
      <w:pPr>
        <w:pStyle w:val="TextBody"/>
        <w:bidi w:val="0"/>
        <w:spacing w:before="0" w:after="0"/>
        <w:ind w:left="0" w:right="0" w:hanging="0"/>
        <w:jc w:val="left"/>
        <w:rPr/>
      </w:pPr>
      <w:r>
        <w:rPr/>
        <w:t>​</w:t>
      </w:r>
    </w:p>
    <w:tbl>
      <w:tblPr>
        <w:tblW w:w="9230" w:type="dxa"/>
        <w:jc w:val="left"/>
        <w:tblInd w:w="0" w:type="dxa"/>
        <w:tblLayout w:type="fixed"/>
        <w:tblCellMar>
          <w:top w:w="0" w:type="dxa"/>
          <w:left w:w="0" w:type="dxa"/>
          <w:bottom w:w="0" w:type="dxa"/>
          <w:right w:w="0" w:type="dxa"/>
        </w:tblCellMar>
      </w:tblPr>
      <w:tblGrid>
        <w:gridCol w:w="2161"/>
        <w:gridCol w:w="326"/>
        <w:gridCol w:w="211"/>
        <w:gridCol w:w="931"/>
        <w:gridCol w:w="326"/>
        <w:gridCol w:w="211"/>
        <w:gridCol w:w="781"/>
        <w:gridCol w:w="326"/>
        <w:gridCol w:w="226"/>
        <w:gridCol w:w="840"/>
        <w:gridCol w:w="326"/>
        <w:gridCol w:w="211"/>
        <w:gridCol w:w="781"/>
        <w:gridCol w:w="326"/>
        <w:gridCol w:w="211"/>
        <w:gridCol w:w="1036"/>
      </w:tblGrid>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07010" cy="175260"/>
                      <wp:effectExtent l="0" t="0" r="0" b="0"/>
                      <wp:wrapNone/>
                      <wp:docPr id="84" name="Frame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33985" cy="175260"/>
                      <wp:effectExtent l="0" t="0" r="0" b="0"/>
                      <wp:wrapNone/>
                      <wp:docPr id="85" name="Frame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591185" cy="175260"/>
                      <wp:effectExtent l="0" t="0" r="0" b="0"/>
                      <wp:wrapNone/>
                      <wp:docPr id="86" name="Frame8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07010" cy="175260"/>
                      <wp:effectExtent l="0" t="0" r="0" b="0"/>
                      <wp:wrapNone/>
                      <wp:docPr id="87" name="Frame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33985" cy="175260"/>
                      <wp:effectExtent l="0" t="0" r="0" b="0"/>
                      <wp:wrapNone/>
                      <wp:docPr id="88" name="Frame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495935" cy="175260"/>
                      <wp:effectExtent l="0" t="0" r="0" b="0"/>
                      <wp:wrapNone/>
                      <wp:docPr id="89" name="Frame8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07010" cy="175260"/>
                      <wp:effectExtent l="0" t="0" r="0" b="0"/>
                      <wp:wrapNone/>
                      <wp:docPr id="90" name="Frame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43510" cy="175260"/>
                      <wp:effectExtent l="0" t="0" r="0" b="0"/>
                      <wp:wrapNone/>
                      <wp:docPr id="91" name="Frame9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533400" cy="175260"/>
                      <wp:effectExtent l="0" t="0" r="0" b="0"/>
                      <wp:wrapNone/>
                      <wp:docPr id="92" name="Frame92"/>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07010" cy="175260"/>
                      <wp:effectExtent l="0" t="0" r="0" b="0"/>
                      <wp:wrapNone/>
                      <wp:docPr id="93" name="Frame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33985" cy="175260"/>
                      <wp:effectExtent l="0" t="0" r="0" b="0"/>
                      <wp:wrapNone/>
                      <wp:docPr id="94" name="Frame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495935" cy="175260"/>
                      <wp:effectExtent l="0" t="0" r="0" b="0"/>
                      <wp:wrapNone/>
                      <wp:docPr id="95" name="Frame9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7010" cy="175260"/>
                      <wp:effectExtent l="0" t="0" r="0" b="0"/>
                      <wp:wrapNone/>
                      <wp:docPr id="96" name="Frame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33985" cy="175260"/>
                      <wp:effectExtent l="0" t="0" r="0" b="0"/>
                      <wp:wrapNone/>
                      <wp:docPr id="97" name="Frame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57860" cy="175260"/>
                      <wp:effectExtent l="0" t="0" r="0" b="0"/>
                      <wp:wrapNone/>
                      <wp:docPr id="98" name="Frame9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743"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 June 30, 2023</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Latin</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America</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center"/>
              <w:rPr/>
            </w:pPr>
            <w:r>
              <w:rPr/>
              <w:t>​</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U.S. and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and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center"/>
              <w:rPr/>
            </w:pPr>
            <w:r>
              <w:rPr/>
              <w:t>​</w:t>
            </w:r>
          </w:p>
        </w:tc>
      </w:tr>
      <w:tr>
        <w:trPr/>
        <w:tc>
          <w:tcPr>
            <w:tcW w:w="21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Canada</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EMEA</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    </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Asia Pacific</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Caribbean</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Drinks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1,068,887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339,522</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138,478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1,686,887</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Brands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47,226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42,050</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7,828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99,690</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Alcohol Brands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61,076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61,076</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7,308</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1,184,497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381,572</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146,306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142,586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1,854,961</w:t>
            </w:r>
          </w:p>
        </w:tc>
      </w:tr>
    </w:tbl>
    <w:p>
      <w:pPr>
        <w:pStyle w:val="TextBody"/>
        <w:bidi w:val="0"/>
        <w:spacing w:before="0" w:after="0"/>
        <w:ind w:left="0" w:right="0" w:firstLine="720"/>
        <w:jc w:val="left"/>
        <w:rPr/>
      </w:pPr>
      <w:r>
        <w:rPr/>
        <w:t>​</w:t>
      </w:r>
    </w:p>
    <w:tbl>
      <w:tblPr>
        <w:tblW w:w="9344" w:type="dxa"/>
        <w:jc w:val="left"/>
        <w:tblInd w:w="0" w:type="dxa"/>
        <w:tblLayout w:type="fixed"/>
        <w:tblCellMar>
          <w:top w:w="0" w:type="dxa"/>
          <w:left w:w="0" w:type="dxa"/>
          <w:bottom w:w="0" w:type="dxa"/>
          <w:right w:w="0" w:type="dxa"/>
        </w:tblCellMar>
      </w:tblPr>
      <w:tblGrid>
        <w:gridCol w:w="2161"/>
        <w:gridCol w:w="326"/>
        <w:gridCol w:w="211"/>
        <w:gridCol w:w="931"/>
        <w:gridCol w:w="326"/>
        <w:gridCol w:w="211"/>
        <w:gridCol w:w="781"/>
        <w:gridCol w:w="326"/>
        <w:gridCol w:w="226"/>
        <w:gridCol w:w="839"/>
        <w:gridCol w:w="326"/>
        <w:gridCol w:w="211"/>
        <w:gridCol w:w="781"/>
        <w:gridCol w:w="326"/>
        <w:gridCol w:w="326"/>
        <w:gridCol w:w="1036"/>
      </w:tblGrid>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99" name="Frame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33985" cy="175260"/>
                      <wp:effectExtent l="0" t="0" r="0" b="0"/>
                      <wp:wrapNone/>
                      <wp:docPr id="100" name="Frame1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591185" cy="175260"/>
                      <wp:effectExtent l="0" t="0" r="0" b="0"/>
                      <wp:wrapNone/>
                      <wp:docPr id="101" name="Frame10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175260"/>
                      <wp:effectExtent l="0" t="0" r="0" b="0"/>
                      <wp:wrapNone/>
                      <wp:docPr id="102" name="Frame1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33985" cy="175260"/>
                      <wp:effectExtent l="0" t="0" r="0" b="0"/>
                      <wp:wrapNone/>
                      <wp:docPr id="103" name="Frame1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495935" cy="175260"/>
                      <wp:effectExtent l="0" t="0" r="0" b="0"/>
                      <wp:wrapNone/>
                      <wp:docPr id="104" name="Frame10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7010" cy="175260"/>
                      <wp:effectExtent l="0" t="0" r="0" b="0"/>
                      <wp:wrapNone/>
                      <wp:docPr id="105" name="Frame1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43510" cy="175260"/>
                      <wp:effectExtent l="0" t="0" r="0" b="0"/>
                      <wp:wrapNone/>
                      <wp:docPr id="106" name="Frame10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532765" cy="175260"/>
                      <wp:effectExtent l="0" t="0" r="0" b="0"/>
                      <wp:wrapNone/>
                      <wp:docPr id="107" name="Frame107"/>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260"/>
                      <wp:effectExtent l="0" t="0" r="0" b="0"/>
                      <wp:wrapNone/>
                      <wp:docPr id="108" name="Frame1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33985" cy="175260"/>
                      <wp:effectExtent l="0" t="0" r="0" b="0"/>
                      <wp:wrapNone/>
                      <wp:docPr id="109" name="Frame1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495935" cy="175260"/>
                      <wp:effectExtent l="0" t="0" r="0" b="0"/>
                      <wp:wrapNone/>
                      <wp:docPr id="110" name="Frame11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07010" cy="175260"/>
                      <wp:effectExtent l="0" t="0" r="0" b="0"/>
                      <wp:wrapNone/>
                      <wp:docPr id="111" name="Frame1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7010" cy="175260"/>
                      <wp:effectExtent l="0" t="0" r="0" b="0"/>
                      <wp:wrapNone/>
                      <wp:docPr id="112" name="Frame1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57860" cy="175260"/>
                      <wp:effectExtent l="0" t="0" r="0" b="0"/>
                      <wp:wrapNone/>
                      <wp:docPr id="113" name="Frame11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57"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 June 30, 2022</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Latin</w:t>
            </w:r>
          </w:p>
        </w:tc>
        <w:tc>
          <w:tcPr>
            <w:tcW w:w="3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left"/>
              <w:rPr/>
            </w:pPr>
            <w:r>
              <w:rPr/>
              <w:t>​</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America</w:t>
            </w:r>
          </w:p>
        </w:tc>
        <w:tc>
          <w:tcPr>
            <w:tcW w:w="3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U.S. and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65"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and</w:t>
            </w:r>
          </w:p>
        </w:tc>
        <w:tc>
          <w:tcPr>
            <w:tcW w:w="3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21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Canada</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EMEA</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    </w:t>
            </w:r>
          </w:p>
        </w:tc>
        <w:tc>
          <w:tcPr>
            <w:tcW w:w="10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Asia Pacific</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Caribbean</w:t>
            </w:r>
          </w:p>
        </w:tc>
        <w:tc>
          <w:tcPr>
            <w:tcW w:w="326" w:type="dxa"/>
            <w:tcBorders/>
            <w:vAlign w:val="center"/>
          </w:tcPr>
          <w:p>
            <w:pPr>
              <w:pStyle w:val="TableContents"/>
              <w:bidi w:val="0"/>
              <w:spacing w:before="0" w:after="0"/>
              <w:ind w:left="0" w:right="0" w:hanging="0"/>
              <w:jc w:val="left"/>
              <w:rPr/>
            </w:pPr>
            <w:r>
              <w:rPr/>
              <w:t>    </w:t>
            </w:r>
          </w:p>
        </w:tc>
        <w:tc>
          <w:tcPr>
            <w:tcW w:w="13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Drinks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973,674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308,839</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116,788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138,389</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1,537,690</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Brands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38,368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29,171</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4,126</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79,142</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Alcohol Brands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32,447</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5,981</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1,050,470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338,010</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124,265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142,515</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1,655,260</w:t>
            </w:r>
          </w:p>
        </w:tc>
      </w:tr>
    </w:tbl>
    <w:p>
      <w:pPr>
        <w:pStyle w:val="TextBody"/>
        <w:bidi w:val="0"/>
        <w:spacing w:before="0" w:after="0"/>
        <w:ind w:left="0" w:right="0" w:hanging="0"/>
        <w:jc w:val="left"/>
        <w:rPr/>
      </w:pPr>
      <w:r>
        <w:rPr/>
        <w:t>​</w:t>
      </w:r>
    </w:p>
    <w:p>
      <w:pPr>
        <w:pStyle w:val="TextBody"/>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i/>
          <w:sz w:val="14"/>
        </w:rPr>
        <w:t>1</w:t>
      </w:r>
      <w:r>
        <w:rPr>
          <w:rFonts w:ascii="Times New Roman;Times;serif" w:hAnsi="Times New Roman;Times;serif"/>
          <w:i/>
          <w:sz w:val="18"/>
        </w:rPr>
        <w:t>Europe, Middle East and Africa (“EMEA”)</w:t>
      </w:r>
    </w:p>
    <w:p>
      <w:pPr>
        <w:pStyle w:val="TextBody"/>
        <w:bidi w:val="0"/>
        <w:spacing w:before="0" w:after="0"/>
        <w:ind w:left="0" w:right="0" w:hanging="0"/>
        <w:jc w:val="left"/>
        <w:rPr/>
      </w:pPr>
      <w:r>
        <w:rPr/>
        <w:t>​</w:t>
      </w:r>
    </w:p>
    <w:tbl>
      <w:tblPr>
        <w:tblW w:w="9229" w:type="dxa"/>
        <w:jc w:val="left"/>
        <w:tblInd w:w="0" w:type="dxa"/>
        <w:tblLayout w:type="fixed"/>
        <w:tblCellMar>
          <w:top w:w="0" w:type="dxa"/>
          <w:left w:w="0" w:type="dxa"/>
          <w:bottom w:w="0" w:type="dxa"/>
          <w:right w:w="0" w:type="dxa"/>
        </w:tblCellMar>
      </w:tblPr>
      <w:tblGrid>
        <w:gridCol w:w="2161"/>
        <w:gridCol w:w="326"/>
        <w:gridCol w:w="211"/>
        <w:gridCol w:w="931"/>
        <w:gridCol w:w="326"/>
        <w:gridCol w:w="211"/>
        <w:gridCol w:w="781"/>
        <w:gridCol w:w="326"/>
        <w:gridCol w:w="226"/>
        <w:gridCol w:w="839"/>
        <w:gridCol w:w="326"/>
        <w:gridCol w:w="211"/>
        <w:gridCol w:w="781"/>
        <w:gridCol w:w="326"/>
        <w:gridCol w:w="211"/>
        <w:gridCol w:w="1036"/>
      </w:tblGrid>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07010" cy="175260"/>
                      <wp:effectExtent l="0" t="0" r="0" b="0"/>
                      <wp:wrapNone/>
                      <wp:docPr id="114" name="Frame1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33985" cy="175260"/>
                      <wp:effectExtent l="0" t="0" r="0" b="0"/>
                      <wp:wrapNone/>
                      <wp:docPr id="115" name="Frame1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591185" cy="175260"/>
                      <wp:effectExtent l="0" t="0" r="0" b="0"/>
                      <wp:wrapNone/>
                      <wp:docPr id="116" name="Frame11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7010" cy="175260"/>
                      <wp:effectExtent l="0" t="0" r="0" b="0"/>
                      <wp:wrapNone/>
                      <wp:docPr id="117" name="Frame1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33985" cy="175260"/>
                      <wp:effectExtent l="0" t="0" r="0" b="0"/>
                      <wp:wrapNone/>
                      <wp:docPr id="118" name="Frame1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495935" cy="175260"/>
                      <wp:effectExtent l="0" t="0" r="0" b="0"/>
                      <wp:wrapNone/>
                      <wp:docPr id="119" name="Frame11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07010" cy="175260"/>
                      <wp:effectExtent l="0" t="0" r="0" b="0"/>
                      <wp:wrapNone/>
                      <wp:docPr id="120" name="Frame1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43510" cy="175260"/>
                      <wp:effectExtent l="0" t="0" r="0" b="0"/>
                      <wp:wrapNone/>
                      <wp:docPr id="121" name="Frame12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532765" cy="175260"/>
                      <wp:effectExtent l="0" t="0" r="0" b="0"/>
                      <wp:wrapNone/>
                      <wp:docPr id="122" name="Frame122"/>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7010" cy="175260"/>
                      <wp:effectExtent l="0" t="0" r="0" b="0"/>
                      <wp:wrapNone/>
                      <wp:docPr id="123" name="Frame1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33985" cy="175260"/>
                      <wp:effectExtent l="0" t="0" r="0" b="0"/>
                      <wp:wrapNone/>
                      <wp:docPr id="124" name="Frame1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495935" cy="175260"/>
                      <wp:effectExtent l="0" t="0" r="0" b="0"/>
                      <wp:wrapNone/>
                      <wp:docPr id="125" name="Frame12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07010" cy="175260"/>
                      <wp:effectExtent l="0" t="0" r="0" b="0"/>
                      <wp:wrapNone/>
                      <wp:docPr id="126" name="Frame1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33985" cy="175260"/>
                      <wp:effectExtent l="0" t="0" r="0" b="0"/>
                      <wp:wrapNone/>
                      <wp:docPr id="127" name="Frame1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57860" cy="175260"/>
                      <wp:effectExtent l="0" t="0" r="0" b="0"/>
                      <wp:wrapNone/>
                      <wp:docPr id="128" name="Frame12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742"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Six-Months Ended June 30, 2023</w:t>
            </w:r>
          </w:p>
        </w:tc>
      </w:tr>
      <w:tr>
        <w:trPr/>
        <w:tc>
          <w:tcPr>
            <w:tcW w:w="21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Latin </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America </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U.S. and </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65" w:type="dxa"/>
            <w:gridSpan w:val="2"/>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and </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21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vAlign w:val="center"/>
          </w:tcPr>
          <w:p>
            <w:pPr>
              <w:pStyle w:val="TableContents"/>
              <w:bidi w:val="0"/>
              <w:spacing w:before="0" w:after="0"/>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Canada</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EMEA</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center"/>
              <w:rPr/>
            </w:pPr>
            <w:r>
              <w:rPr/>
              <w:t>    </w:t>
            </w:r>
          </w:p>
        </w:tc>
        <w:tc>
          <w:tcPr>
            <w:tcW w:w="10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Asia Pacific</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Caribbean</w:t>
            </w:r>
          </w:p>
        </w:tc>
        <w:tc>
          <w:tcPr>
            <w:tcW w:w="326" w:type="dxa"/>
            <w:tcBorders/>
            <w:vAlign w:val="center"/>
          </w:tcPr>
          <w:p>
            <w:pPr>
              <w:pStyle w:val="TableContents"/>
              <w:bidi w:val="0"/>
              <w:spacing w:before="0" w:after="0"/>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Drinks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2,090,215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616,633</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260,472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281,235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3,248,555</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Brands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90,269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73,001</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16,811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186,048</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Alcohol Brands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107,366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107,366</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11,922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11,922</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2,299,772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689,634</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277,283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287,202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3,553,891</w:t>
            </w:r>
          </w:p>
        </w:tc>
      </w:tr>
    </w:tbl>
    <w:p>
      <w:pPr>
        <w:pStyle w:val="TextBody"/>
        <w:bidi w:val="0"/>
        <w:spacing w:before="0" w:after="0"/>
        <w:ind w:left="0" w:right="0" w:hanging="0"/>
        <w:jc w:val="left"/>
        <w:rPr/>
      </w:pPr>
      <w:r>
        <w:rPr/>
        <w:t>​</w:t>
      </w:r>
    </w:p>
    <w:tbl>
      <w:tblPr>
        <w:tblW w:w="9229" w:type="dxa"/>
        <w:jc w:val="left"/>
        <w:tblInd w:w="0" w:type="dxa"/>
        <w:tblLayout w:type="fixed"/>
        <w:tblCellMar>
          <w:top w:w="0" w:type="dxa"/>
          <w:left w:w="0" w:type="dxa"/>
          <w:bottom w:w="0" w:type="dxa"/>
          <w:right w:w="0" w:type="dxa"/>
        </w:tblCellMar>
      </w:tblPr>
      <w:tblGrid>
        <w:gridCol w:w="2161"/>
        <w:gridCol w:w="326"/>
        <w:gridCol w:w="211"/>
        <w:gridCol w:w="931"/>
        <w:gridCol w:w="326"/>
        <w:gridCol w:w="211"/>
        <w:gridCol w:w="781"/>
        <w:gridCol w:w="326"/>
        <w:gridCol w:w="226"/>
        <w:gridCol w:w="839"/>
        <w:gridCol w:w="326"/>
        <w:gridCol w:w="211"/>
        <w:gridCol w:w="781"/>
        <w:gridCol w:w="326"/>
        <w:gridCol w:w="211"/>
        <w:gridCol w:w="1036"/>
      </w:tblGrid>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7010" cy="175260"/>
                      <wp:effectExtent l="0" t="0" r="0" b="0"/>
                      <wp:wrapNone/>
                      <wp:docPr id="129" name="Frame1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33985" cy="175260"/>
                      <wp:effectExtent l="0" t="0" r="0" b="0"/>
                      <wp:wrapNone/>
                      <wp:docPr id="130" name="Frame1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591185" cy="175260"/>
                      <wp:effectExtent l="0" t="0" r="0" b="0"/>
                      <wp:wrapNone/>
                      <wp:docPr id="131" name="Frame13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7010" cy="175260"/>
                      <wp:effectExtent l="0" t="0" r="0" b="0"/>
                      <wp:wrapNone/>
                      <wp:docPr id="132" name="Frame1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33985" cy="175260"/>
                      <wp:effectExtent l="0" t="0" r="0" b="0"/>
                      <wp:wrapNone/>
                      <wp:docPr id="133" name="Frame1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495935" cy="175260"/>
                      <wp:effectExtent l="0" t="0" r="0" b="0"/>
                      <wp:wrapNone/>
                      <wp:docPr id="134" name="Frame13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07010" cy="175260"/>
                      <wp:effectExtent l="0" t="0" r="0" b="0"/>
                      <wp:wrapNone/>
                      <wp:docPr id="135" name="Frame1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43510" cy="175260"/>
                      <wp:effectExtent l="0" t="0" r="0" b="0"/>
                      <wp:wrapNone/>
                      <wp:docPr id="136" name="Frame13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532765" cy="175260"/>
                      <wp:effectExtent l="0" t="0" r="0" b="0"/>
                      <wp:wrapNone/>
                      <wp:docPr id="137" name="Frame137"/>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07010" cy="175260"/>
                      <wp:effectExtent l="0" t="0" r="0" b="0"/>
                      <wp:wrapNone/>
                      <wp:docPr id="138" name="Frame1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33985" cy="175260"/>
                      <wp:effectExtent l="0" t="0" r="0" b="0"/>
                      <wp:wrapNone/>
                      <wp:docPr id="139" name="Frame1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495935" cy="175260"/>
                      <wp:effectExtent l="0" t="0" r="0" b="0"/>
                      <wp:wrapNone/>
                      <wp:docPr id="140" name="Frame14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07010" cy="175260"/>
                      <wp:effectExtent l="0" t="0" r="0" b="0"/>
                      <wp:wrapNone/>
                      <wp:docPr id="141" name="Frame1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33985" cy="175260"/>
                      <wp:effectExtent l="0" t="0" r="0" b="0"/>
                      <wp:wrapNone/>
                      <wp:docPr id="142" name="Frame1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57860" cy="175260"/>
                      <wp:effectExtent l="0" t="0" r="0" b="0"/>
                      <wp:wrapNone/>
                      <wp:docPr id="143" name="Frame14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742"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Six-Months Ended June 30, 2022</w:t>
            </w:r>
          </w:p>
        </w:tc>
      </w:tr>
      <w:tr>
        <w:trPr/>
        <w:tc>
          <w:tcPr>
            <w:tcW w:w="21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Latin </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America </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U.S. and </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65" w:type="dxa"/>
            <w:gridSpan w:val="2"/>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and </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21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vAlign w:val="center"/>
          </w:tcPr>
          <w:p>
            <w:pPr>
              <w:pStyle w:val="TableContents"/>
              <w:bidi w:val="0"/>
              <w:spacing w:before="0" w:after="0"/>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Canada</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EMEA</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center"/>
              <w:rPr/>
            </w:pPr>
            <w:r>
              <w:rPr/>
              <w:t>    </w:t>
            </w:r>
          </w:p>
        </w:tc>
        <w:tc>
          <w:tcPr>
            <w:tcW w:w="10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Asia Pacific</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Caribbean</w:t>
            </w:r>
          </w:p>
        </w:tc>
        <w:tc>
          <w:tcPr>
            <w:tcW w:w="326" w:type="dxa"/>
            <w:tcBorders/>
            <w:vAlign w:val="center"/>
          </w:tcPr>
          <w:p>
            <w:pPr>
              <w:pStyle w:val="TableContents"/>
              <w:bidi w:val="0"/>
              <w:spacing w:before="0" w:after="0"/>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Drinks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1,899,354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569,728</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227,343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246,111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2,942,536</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Brands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91,420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59,347</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14,138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6,830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171,735</w:t>
            </w:r>
          </w:p>
        </w:tc>
      </w:tr>
      <w:tr>
        <w:trPr/>
        <w:tc>
          <w:tcPr>
            <w:tcW w:w="216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Alcohol Brands</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47,654</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11,908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11,908</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2,050,336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629,075</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241,481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252,941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3,173,833</w:t>
            </w:r>
          </w:p>
        </w:tc>
      </w:tr>
    </w:tbl>
    <w:p>
      <w:pPr>
        <w:pStyle w:val="TextBody"/>
        <w:bidi w:val="0"/>
        <w:spacing w:before="0" w:after="0"/>
        <w:ind w:left="0" w:right="0" w:hanging="0"/>
        <w:jc w:val="left"/>
        <w:rPr/>
      </w:pPr>
      <w:r>
        <w:rPr/>
        <w:t>​</w:t>
      </w:r>
    </w:p>
    <w:p>
      <w:pPr>
        <w:pStyle w:val="TextBody"/>
        <w:bidi w:val="0"/>
        <w:spacing w:lineRule="auto" w:line="240" w:before="0" w:after="0"/>
        <w:ind w:left="0" w:right="0" w:hanging="0"/>
        <w:jc w:val="both"/>
        <w:rPr>
          <w:rFonts w:ascii="Times New Roman;Times;serif" w:hAnsi="Times New Roman;Times;serif"/>
          <w:sz w:val="18"/>
        </w:rPr>
      </w:pPr>
      <w:r>
        <w:rPr>
          <w:rFonts w:ascii="Times New Roman;Times;serif" w:hAnsi="Times New Roman;Times;serif"/>
          <w:i/>
          <w:sz w:val="14"/>
        </w:rPr>
        <w:t>1</w:t>
      </w:r>
      <w:r>
        <w:rPr>
          <w:rFonts w:ascii="Times New Roman;Times;serif" w:hAnsi="Times New Roman;Times;serif"/>
          <w:i/>
          <w:sz w:val="18"/>
        </w:rPr>
        <w:t>Europe, Middle East and Africa (“EMEA”)</w:t>
      </w:r>
    </w:p>
    <w:p>
      <w:pPr>
        <w:pStyle w:val="TextBody"/>
        <w:bidi w:val="0"/>
        <w:spacing w:lineRule="auto" w:line="240" w:before="0" w:after="200"/>
        <w:ind w:left="0" w:right="0" w:hanging="0"/>
        <w:jc w:val="both"/>
        <w:rPr>
          <w:rFonts w:ascii="Times New Roman;Times;serif" w:hAnsi="Times New Roman;Times;serif"/>
          <w:sz w:val="18"/>
        </w:rPr>
      </w:pPr>
      <w:r>
        <w:rPr>
          <w:rFonts w:ascii="Times New Roman;Times;serif" w:hAnsi="Times New Roman;Times;serif"/>
          <w:i/>
          <w:sz w:val="14"/>
        </w:rPr>
        <w:t>2</w:t>
      </w:r>
      <w:r>
        <w:rPr>
          <w:rFonts w:ascii="Times New Roman;Times;serif" w:hAnsi="Times New Roman;Times;serif"/>
          <w:i/>
          <w:sz w:val="18"/>
        </w:rPr>
        <w:t>Effectively from February 17, 2022 to June 30,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Contract Liabilities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Amounts received from certain bottlers/distributors at inception of their distribution contracts or at the inception of certain sales/marketing programs are accounted for as deferred revenue. As of June 30, 2023, the Company had $257.8 million of deferred revenue, which is included in current and long-term deferred revenue in the Company’s condensed consolidated balance sheet. As of December 31, 2022, the Company had $267.1 million of deferred revenue, which is included in current and long-term deferred revenue in the Company’s condensed consolidated balance sheet. During the three-months ended June 30, 2023 and 2022, $10.0 million and $10.1 million, respectively, of deferred revenue was recognized in net sales. See Note 10. During the six-months ended June 30, 2023 and 2022, $19.9 million and $20.1 million, respectively, of deferred revenue was recognized in net sales. See Note 10.</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971" w:name="Tc_P3jovR8U2ESk54Snj-cpcA_10_0"/>
      <w:bookmarkStart w:id="972" w:name="Tc_PmZcJb4uuUaxvxyPckNDIQ_9_0"/>
      <w:bookmarkStart w:id="973" w:name="Tc_nrnXJKmnx0Ge2fADveZpHw_8_0"/>
      <w:bookmarkStart w:id="974" w:name="Tc_ijUflclfeUCxFvkoD0zIDg_6_0"/>
      <w:bookmarkStart w:id="975" w:name="Tc_L955h944l0WgRYF2ULpQSA_5_0"/>
      <w:bookmarkStart w:id="976" w:name="Tc_4or93tglnk22KQVxLPM6Hw_4_5"/>
      <w:bookmarkStart w:id="977" w:name="Tc_t1cSD3JY_USZxiV6zaPdVw_4_2"/>
      <w:bookmarkStart w:id="978" w:name="Tc_ROA5TRDK0ESpbVUC21N9Qg_4_0"/>
      <w:bookmarkStart w:id="979" w:name="Tc_P4NwkdOOFEqCkVyWK1PDpg_3_0"/>
      <w:bookmarkStart w:id="980" w:name="Tc_uU0Lgve63kOqaVwfrWfiag_2_5"/>
      <w:bookmarkStart w:id="981" w:name="Tc_R1Ct0Q3ksk-LYdiAwhnoEQ_2_2"/>
      <w:bookmarkStart w:id="982" w:name="Tc_cVOVQW_K8kqLORcZtpRZTg_1_2"/>
      <w:bookmarkStart w:id="983" w:name="Tc_9DIfV_U2Oky4zvMo_U-Tag_12_11"/>
      <w:bookmarkStart w:id="984" w:name="Tc_6UQm_uuexEWs_T9R5aErvw_12_8"/>
      <w:bookmarkStart w:id="985" w:name="Tc_KvdtajFBekCNum1X8gghmg_12_5"/>
      <w:bookmarkStart w:id="986" w:name="Tc_evEdJILbckO4FBsFgmOTBQ_12_2"/>
      <w:bookmarkStart w:id="987" w:name="Tc_4mfWJMcL30apRsjXp9rm9Q_12_0"/>
      <w:bookmarkStart w:id="988" w:name="Tc_4qLg9N_ak02UXPM15S1AMw_10_0"/>
      <w:bookmarkStart w:id="989" w:name="Tc_San0wfUwj0ikZq1j8iI0vQ_9_0"/>
      <w:bookmarkStart w:id="990" w:name="Tc_EVTvS-4b50-DZqLLvLOPDw_8_0"/>
      <w:bookmarkStart w:id="991" w:name="Tc_X7XErXn9UEeCBXCrxP37SA_7_0"/>
      <w:bookmarkStart w:id="992" w:name="Tc_483TmiKbFUKdJFaFTpzxzw_5_0"/>
      <w:bookmarkStart w:id="993" w:name="Tc_4rQXgOpaRUuViid72STF2A_4_0"/>
      <w:bookmarkStart w:id="994" w:name="Tc__cLw3pY-5Eet4VV6DzAnWw_3_11"/>
      <w:bookmarkStart w:id="995" w:name="Tc_49-FXY8NjUO-wGvWSOzR6A_3_8"/>
      <w:bookmarkStart w:id="996" w:name="Tc_kStz1i5J1ECA_6TCEZGE6w_3_5"/>
      <w:bookmarkStart w:id="997" w:name="Tc_n9lkJN4a0EarO2xrMCzNTQ_3_2"/>
      <w:bookmarkStart w:id="998" w:name="Tc_4PFLSSvRhkefutCA5ACesw_3_0"/>
      <w:bookmarkStart w:id="999" w:name="Tc_e0f1u1oT6U6vO4r8M3P1mw_2_11"/>
      <w:bookmarkStart w:id="1000" w:name="Tc_F3xOMhJd5kOncpR5EtHkvw_2_8"/>
      <w:bookmarkStart w:id="1001" w:name="Tc_8wGvhemoSUGdKb5SuWkluA_2_5"/>
      <w:bookmarkStart w:id="1002" w:name="Tc_MxJnkoupi0i0SCa8tfn-Xg_2_2"/>
      <w:bookmarkStart w:id="1003" w:name="Tc_Ik5pu8IrCUqx23TlR5PMjg_1_8"/>
      <w:bookmarkStart w:id="1004" w:name="Tc_c3inyaMWz02jlRPndx5wgg_1_2"/>
      <w:bookmarkStart w:id="1005" w:name="_6b33d1b2_6c6a_45c0_8546_2ee48a8c9b4f"/>
      <w:bookmarkStart w:id="1006" w:name="Tc_P3jovR8U2ESk54Snj-cpcA_10_0"/>
      <w:bookmarkStart w:id="1007" w:name="Tc_PmZcJb4uuUaxvxyPckNDIQ_9_0"/>
      <w:bookmarkStart w:id="1008" w:name="Tc_nrnXJKmnx0Ge2fADveZpHw_8_0"/>
      <w:bookmarkStart w:id="1009" w:name="Tc_ijUflclfeUCxFvkoD0zIDg_6_0"/>
      <w:bookmarkStart w:id="1010" w:name="Tc_L955h944l0WgRYF2ULpQSA_5_0"/>
      <w:bookmarkStart w:id="1011" w:name="Tc_4or93tglnk22KQVxLPM6Hw_4_5"/>
      <w:bookmarkStart w:id="1012" w:name="Tc_t1cSD3JY_USZxiV6zaPdVw_4_2"/>
      <w:bookmarkStart w:id="1013" w:name="Tc_ROA5TRDK0ESpbVUC21N9Qg_4_0"/>
      <w:bookmarkStart w:id="1014" w:name="Tc_P4NwkdOOFEqCkVyWK1PDpg_3_0"/>
      <w:bookmarkStart w:id="1015" w:name="Tc_uU0Lgve63kOqaVwfrWfiag_2_5"/>
      <w:bookmarkStart w:id="1016" w:name="Tc_R1Ct0Q3ksk-LYdiAwhnoEQ_2_2"/>
      <w:bookmarkStart w:id="1017" w:name="Tc_cVOVQW_K8kqLORcZtpRZTg_1_2"/>
      <w:bookmarkStart w:id="1018" w:name="Tc_9DIfV_U2Oky4zvMo_U-Tag_12_11"/>
      <w:bookmarkStart w:id="1019" w:name="Tc_6UQm_uuexEWs_T9R5aErvw_12_8"/>
      <w:bookmarkStart w:id="1020" w:name="Tc_KvdtajFBekCNum1X8gghmg_12_5"/>
      <w:bookmarkStart w:id="1021" w:name="Tc_evEdJILbckO4FBsFgmOTBQ_12_2"/>
      <w:bookmarkStart w:id="1022" w:name="Tc_4mfWJMcL30apRsjXp9rm9Q_12_0"/>
      <w:bookmarkStart w:id="1023" w:name="Tc_4qLg9N_ak02UXPM15S1AMw_10_0"/>
      <w:bookmarkStart w:id="1024" w:name="Tc_San0wfUwj0ikZq1j8iI0vQ_9_0"/>
      <w:bookmarkStart w:id="1025" w:name="Tc_EVTvS-4b50-DZqLLvLOPDw_8_0"/>
      <w:bookmarkStart w:id="1026" w:name="Tc_X7XErXn9UEeCBXCrxP37SA_7_0"/>
      <w:bookmarkStart w:id="1027" w:name="Tc_483TmiKbFUKdJFaFTpzxzw_5_0"/>
      <w:bookmarkStart w:id="1028" w:name="Tc_4rQXgOpaRUuViid72STF2A_4_0"/>
      <w:bookmarkStart w:id="1029" w:name="Tc__cLw3pY-5Eet4VV6DzAnWw_3_11"/>
      <w:bookmarkStart w:id="1030" w:name="Tc_49-FXY8NjUO-wGvWSOzR6A_3_8"/>
      <w:bookmarkStart w:id="1031" w:name="Tc_kStz1i5J1ECA_6TCEZGE6w_3_5"/>
      <w:bookmarkStart w:id="1032" w:name="Tc_n9lkJN4a0EarO2xrMCzNTQ_3_2"/>
      <w:bookmarkStart w:id="1033" w:name="Tc_4PFLSSvRhkefutCA5ACesw_3_0"/>
      <w:bookmarkStart w:id="1034" w:name="Tc_e0f1u1oT6U6vO4r8M3P1mw_2_11"/>
      <w:bookmarkStart w:id="1035" w:name="Tc_F3xOMhJd5kOncpR5EtHkvw_2_8"/>
      <w:bookmarkStart w:id="1036" w:name="Tc_8wGvhemoSUGdKb5SuWkluA_2_5"/>
      <w:bookmarkStart w:id="1037" w:name="Tc_MxJnkoupi0i0SCa8tfn-Xg_2_2"/>
      <w:bookmarkStart w:id="1038" w:name="Tc_Ik5pu8IrCUqx23TlR5PMjg_1_8"/>
      <w:bookmarkStart w:id="1039" w:name="Tc_c3inyaMWz02jlRPndx5wgg_1_2"/>
      <w:bookmarkStart w:id="1040" w:name="_6b33d1b2_6c6a_45c0_8546_2ee48a8c9b4f"/>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p>
    <w:tbl>
      <w:tblPr>
        <w:tblW w:w="1127" w:type="dxa"/>
        <w:jc w:val="left"/>
        <w:tblInd w:w="0" w:type="dxa"/>
        <w:tblLayout w:type="fixed"/>
        <w:tblCellMar>
          <w:top w:w="0" w:type="dxa"/>
          <w:left w:w="0" w:type="dxa"/>
          <w:bottom w:w="0" w:type="dxa"/>
          <w:right w:w="0" w:type="dxa"/>
        </w:tblCellMar>
      </w:tblPr>
      <w:tblGrid>
        <w:gridCol w:w="271"/>
        <w:gridCol w:w="856"/>
      </w:tblGrid>
      <w:tr>
        <w:trPr/>
        <w:tc>
          <w:tcPr>
            <w:tcW w:w="27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85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LEASES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 leases identified assets consisting primarily of office and warehouse space, warehouse equipment and vehicles. Leases are classified as either finance leases or operating leases based on criteria in ASC 842, “Leases”. The Company’s leases have remaining lease terms of less than one year to 11 years, </w:t>
      </w:r>
      <w:r>
        <w:rPr>
          <w:rFonts w:ascii="Times New Roman;Times;serif" w:hAnsi="Times New Roman;Times;serif"/>
          <w:b w:val="false"/>
          <w:i w:val="false"/>
          <w:caps w:val="false"/>
          <w:smallCaps w:val="false"/>
          <w:sz w:val="20"/>
        </w:rPr>
        <w:t>some</w:t>
      </w:r>
      <w:r>
        <w:rPr>
          <w:rFonts w:ascii="Times New Roman;Times;serif" w:hAnsi="Times New Roman;Times;serif"/>
          <w:sz w:val="20"/>
        </w:rPr>
        <w:t xml:space="preserve"> of </w:t>
      </w:r>
      <w:r>
        <w:rPr>
          <w:rFonts w:ascii="Times New Roman;Times;serif" w:hAnsi="Times New Roman;Times;serif"/>
          <w:b w:val="false"/>
          <w:i w:val="false"/>
          <w:caps w:val="false"/>
          <w:smallCaps w:val="false"/>
          <w:sz w:val="20"/>
        </w:rPr>
        <w:t>which</w:t>
      </w:r>
      <w:r>
        <w:rPr>
          <w:rFonts w:ascii="Times New Roman;Times;serif" w:hAnsi="Times New Roman;Times;serif"/>
          <w:sz w:val="20"/>
        </w:rPr>
        <w:t xml:space="preserve"> include options to extend the </w:t>
      </w:r>
      <w:r>
        <w:rPr>
          <w:rFonts w:ascii="Times New Roman;Times;serif" w:hAnsi="Times New Roman;Times;serif"/>
          <w:b w:val="false"/>
          <w:i w:val="false"/>
          <w:caps w:val="false"/>
          <w:smallCaps w:val="false"/>
          <w:sz w:val="20"/>
        </w:rPr>
        <w:t>leases</w:t>
      </w:r>
      <w:r>
        <w:rPr>
          <w:rFonts w:ascii="Times New Roman;Times;serif" w:hAnsi="Times New Roman;Times;serif"/>
          <w:sz w:val="20"/>
        </w:rPr>
        <w:t xml:space="preserve"> for up to five years, and some of which include options to terminate the </w:t>
      </w:r>
      <w:r>
        <w:rPr>
          <w:rFonts w:ascii="Times New Roman;Times;serif" w:hAnsi="Times New Roman;Times;serif"/>
          <w:b w:val="false"/>
          <w:i w:val="false"/>
          <w:caps w:val="false"/>
          <w:smallCaps w:val="false"/>
          <w:sz w:val="20"/>
        </w:rPr>
        <w:t>leases</w:t>
      </w:r>
      <w:r>
        <w:rPr>
          <w:rFonts w:ascii="Times New Roman;Times;serif" w:hAnsi="Times New Roman;Times;serif"/>
          <w:sz w:val="20"/>
        </w:rPr>
        <w:t xml:space="preserve"> within one year.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components of lease cost were as follows:</w:t>
      </w:r>
    </w:p>
    <w:p>
      <w:pPr>
        <w:pStyle w:val="TextBody"/>
        <w:bidi w:val="0"/>
        <w:spacing w:before="0" w:after="0"/>
        <w:ind w:left="0" w:right="0" w:firstLine="720"/>
        <w:jc w:val="both"/>
        <w:rPr/>
      </w:pPr>
      <w:r>
        <w:rPr/>
        <w:t>​</w:t>
      </w:r>
    </w:p>
    <w:tbl>
      <w:tblPr>
        <w:tblW w:w="8509" w:type="dxa"/>
        <w:jc w:val="left"/>
        <w:tblInd w:w="0" w:type="dxa"/>
        <w:tblLayout w:type="fixed"/>
        <w:tblCellMar>
          <w:top w:w="0" w:type="dxa"/>
          <w:left w:w="0" w:type="dxa"/>
          <w:bottom w:w="0" w:type="dxa"/>
          <w:right w:w="0" w:type="dxa"/>
        </w:tblCellMar>
      </w:tblPr>
      <w:tblGrid>
        <w:gridCol w:w="2911"/>
        <w:gridCol w:w="326"/>
        <w:gridCol w:w="284"/>
        <w:gridCol w:w="770"/>
        <w:gridCol w:w="440"/>
        <w:gridCol w:w="284"/>
        <w:gridCol w:w="770"/>
        <w:gridCol w:w="326"/>
        <w:gridCol w:w="253"/>
        <w:gridCol w:w="687"/>
        <w:gridCol w:w="392"/>
        <w:gridCol w:w="253"/>
        <w:gridCol w:w="813"/>
      </w:tblGrid>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07010" cy="175260"/>
                      <wp:effectExtent l="0" t="0" r="0" b="0"/>
                      <wp:wrapNone/>
                      <wp:docPr id="144" name="Frame1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80340" cy="175260"/>
                      <wp:effectExtent l="0" t="0" r="0" b="0"/>
                      <wp:wrapNone/>
                      <wp:docPr id="145" name="Frame145"/>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488950" cy="175260"/>
                      <wp:effectExtent l="0" t="0" r="0" b="0"/>
                      <wp:wrapNone/>
                      <wp:docPr id="146" name="Frame146"/>
                      <a:graphic xmlns:a="http://schemas.openxmlformats.org/drawingml/2006/main">
                        <a:graphicData uri="http://schemas.microsoft.com/office/word/2010/wordprocessingShape">
                          <wps:wsp>
                            <wps:cNvSpPr txBox="1"/>
                            <wps:spPr>
                              <a:xfrm>
                                <a:off x="0" y="0"/>
                                <a:ext cx="488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79400" cy="175260"/>
                      <wp:effectExtent l="0" t="0" r="0" b="0"/>
                      <wp:wrapNone/>
                      <wp:docPr id="147" name="Frame147"/>
                      <a:graphic xmlns:a="http://schemas.openxmlformats.org/drawingml/2006/main">
                        <a:graphicData uri="http://schemas.microsoft.com/office/word/2010/wordprocessingShape">
                          <wps:wsp>
                            <wps:cNvSpPr txBox="1"/>
                            <wps:spPr>
                              <a:xfrm>
                                <a:off x="0" y="0"/>
                                <a:ext cx="279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80340" cy="175260"/>
                      <wp:effectExtent l="0" t="0" r="0" b="0"/>
                      <wp:wrapNone/>
                      <wp:docPr id="148" name="Frame148"/>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488950" cy="175260"/>
                      <wp:effectExtent l="0" t="0" r="0" b="0"/>
                      <wp:wrapNone/>
                      <wp:docPr id="149" name="Frame149"/>
                      <a:graphic xmlns:a="http://schemas.openxmlformats.org/drawingml/2006/main">
                        <a:graphicData uri="http://schemas.microsoft.com/office/word/2010/wordprocessingShape">
                          <wps:wsp>
                            <wps:cNvSpPr txBox="1"/>
                            <wps:spPr>
                              <a:xfrm>
                                <a:off x="0" y="0"/>
                                <a:ext cx="488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7010" cy="175260"/>
                      <wp:effectExtent l="0" t="0" r="0" b="0"/>
                      <wp:wrapNone/>
                      <wp:docPr id="150" name="Frame1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60655" cy="175260"/>
                      <wp:effectExtent l="0" t="0" r="0" b="0"/>
                      <wp:wrapNone/>
                      <wp:docPr id="151" name="Frame151"/>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436245" cy="175260"/>
                      <wp:effectExtent l="0" t="0" r="0" b="0"/>
                      <wp:wrapNone/>
                      <wp:docPr id="152" name="Frame152"/>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48920" cy="175260"/>
                      <wp:effectExtent l="0" t="0" r="0" b="0"/>
                      <wp:wrapNone/>
                      <wp:docPr id="153" name="Frame153"/>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60655" cy="175260"/>
                      <wp:effectExtent l="0" t="0" r="0" b="0"/>
                      <wp:wrapNone/>
                      <wp:docPr id="154" name="Frame154"/>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516255" cy="175260"/>
                      <wp:effectExtent l="0" t="0" r="0" b="0"/>
                      <wp:wrapNone/>
                      <wp:docPr id="155" name="Frame155"/>
                      <a:graphic xmlns:a="http://schemas.openxmlformats.org/drawingml/2006/main">
                        <a:graphicData uri="http://schemas.microsoft.com/office/word/2010/wordprocessingShape">
                          <wps:wsp>
                            <wps:cNvSpPr txBox="1"/>
                            <wps:spPr>
                              <a:xfrm>
                                <a:off x="0" y="0"/>
                                <a:ext cx="516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4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 June 30,</w:t>
            </w:r>
          </w:p>
        </w:tc>
        <w:tc>
          <w:tcPr>
            <w:tcW w:w="326" w:type="dxa"/>
            <w:tcBorders/>
            <w:vAlign w:val="center"/>
          </w:tcPr>
          <w:p>
            <w:pPr>
              <w:pStyle w:val="TableContents"/>
              <w:bidi w:val="0"/>
              <w:spacing w:before="0" w:after="0"/>
              <w:ind w:left="0" w:right="0" w:hanging="0"/>
              <w:jc w:val="center"/>
              <w:rPr/>
            </w:pPr>
            <w:r>
              <w:rPr/>
              <w:t>​</w:t>
            </w:r>
          </w:p>
        </w:tc>
        <w:tc>
          <w:tcPr>
            <w:tcW w:w="239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Six-Months Ended June 30,</w:t>
            </w:r>
          </w:p>
        </w:tc>
      </w:tr>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440" w:type="dxa"/>
            <w:tcBorders/>
            <w:vAlign w:val="center"/>
          </w:tcPr>
          <w:p>
            <w:pPr>
              <w:pStyle w:val="TableContents"/>
              <w:bidi w:val="0"/>
              <w:spacing w:before="0" w:after="0"/>
              <w:ind w:left="0" w:right="0" w:hanging="0"/>
              <w:jc w:val="left"/>
              <w:rPr/>
            </w:pPr>
            <w:r>
              <w:rPr/>
              <w:t>    </w:t>
            </w:r>
          </w:p>
        </w:tc>
        <w:tc>
          <w:tcPr>
            <w:tcW w:w="10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c>
          <w:tcPr>
            <w:tcW w:w="326" w:type="dxa"/>
            <w:tcBorders/>
            <w:vAlign w:val="center"/>
          </w:tcPr>
          <w:p>
            <w:pPr>
              <w:pStyle w:val="TableContents"/>
              <w:bidi w:val="0"/>
              <w:spacing w:before="0" w:after="0"/>
              <w:ind w:left="0" w:right="0" w:hanging="0"/>
              <w:jc w:val="center"/>
              <w:rPr/>
            </w:pPr>
            <w:r>
              <w:rPr/>
              <w:t>    </w:t>
            </w:r>
          </w:p>
        </w:tc>
        <w:tc>
          <w:tcPr>
            <w:tcW w:w="9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92" w:type="dxa"/>
            <w:tcBorders/>
            <w:vAlign w:val="center"/>
          </w:tcPr>
          <w:p>
            <w:pPr>
              <w:pStyle w:val="TableContents"/>
              <w:bidi w:val="0"/>
              <w:spacing w:before="0" w:after="0"/>
              <w:ind w:left="0" w:right="0" w:hanging="0"/>
              <w:jc w:val="left"/>
              <w:rPr/>
            </w:pPr>
            <w:r>
              <w:rPr/>
              <w:t>    </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29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2,616</w:t>
            </w:r>
          </w:p>
        </w:tc>
        <w:tc>
          <w:tcPr>
            <w:tcW w:w="440"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2,238</w:t>
            </w:r>
          </w:p>
        </w:tc>
        <w:tc>
          <w:tcPr>
            <w:tcW w:w="326" w:type="dxa"/>
            <w:tcBorders/>
            <w:shd w:fill="CCEEFF" w:val="clear"/>
            <w:vAlign w:val="center"/>
          </w:tcPr>
          <w:p>
            <w:pPr>
              <w:pStyle w:val="TableContents"/>
              <w:bidi w:val="0"/>
              <w:spacing w:before="0" w:after="0"/>
              <w:ind w:left="0" w:right="0" w:hanging="0"/>
              <w:jc w:val="righ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5,083</w:t>
            </w:r>
          </w:p>
        </w:tc>
        <w:tc>
          <w:tcPr>
            <w:tcW w:w="392"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3,932</w:t>
            </w:r>
          </w:p>
        </w:tc>
      </w:tr>
      <w:tr>
        <w:trPr/>
        <w:tc>
          <w:tcPr>
            <w:tcW w:w="29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lease cost</w:t>
            </w:r>
          </w:p>
        </w:tc>
        <w:tc>
          <w:tcPr>
            <w:tcW w:w="3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 </w:t>
            </w:r>
          </w:p>
        </w:tc>
        <w:tc>
          <w:tcPr>
            <w:tcW w:w="7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1,070</w:t>
            </w:r>
          </w:p>
        </w:tc>
        <w:tc>
          <w:tcPr>
            <w:tcW w:w="440"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 </w:t>
            </w:r>
          </w:p>
        </w:tc>
        <w:tc>
          <w:tcPr>
            <w:tcW w:w="7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939</w:t>
            </w:r>
          </w:p>
        </w:tc>
        <w:tc>
          <w:tcPr>
            <w:tcW w:w="326" w:type="dxa"/>
            <w:tcBorders/>
            <w:vAlign w:val="center"/>
          </w:tcPr>
          <w:p>
            <w:pPr>
              <w:pStyle w:val="TableContents"/>
              <w:bidi w:val="0"/>
              <w:spacing w:before="0" w:after="0"/>
              <w:ind w:left="0" w:right="0" w:hanging="0"/>
              <w:jc w:val="right"/>
              <w:rPr/>
            </w:pPr>
            <w:r>
              <w:rPr/>
              <w:t>​</w:t>
            </w:r>
          </w:p>
        </w:tc>
        <w:tc>
          <w:tcPr>
            <w:tcW w:w="253"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2,049</w:t>
            </w:r>
          </w:p>
        </w:tc>
        <w:tc>
          <w:tcPr>
            <w:tcW w:w="392"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1,869</w:t>
            </w:r>
          </w:p>
        </w:tc>
      </w:tr>
      <w:tr>
        <w:trPr/>
        <w:tc>
          <w:tcPr>
            <w:tcW w:w="29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lease cost</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 </w:t>
            </w:r>
          </w:p>
        </w:tc>
        <w:tc>
          <w:tcPr>
            <w:tcW w:w="7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w:t>
            </w:r>
          </w:p>
        </w:tc>
        <w:tc>
          <w:tcPr>
            <w:tcW w:w="440"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 </w:t>
            </w:r>
          </w:p>
        </w:tc>
        <w:tc>
          <w:tcPr>
            <w:tcW w:w="7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c>
          <w:tcPr>
            <w:tcW w:w="326" w:type="dxa"/>
            <w:tcBorders/>
            <w:shd w:fill="CCEEFF" w:val="clear"/>
            <w:vAlign w:val="center"/>
          </w:tcPr>
          <w:p>
            <w:pPr>
              <w:pStyle w:val="TableContents"/>
              <w:bidi w:val="0"/>
              <w:spacing w:before="0" w:after="0"/>
              <w:ind w:left="0" w:right="0" w:hanging="0"/>
              <w:jc w:val="right"/>
              <w:rPr/>
            </w:pPr>
            <w:r>
              <w:rPr/>
              <w:t>​</w:t>
            </w:r>
          </w:p>
        </w:tc>
        <w:tc>
          <w:tcPr>
            <w:tcW w:w="253" w:type="dxa"/>
            <w:tcBorders/>
            <w:shd w:fill="CCEEFF" w:val="clear"/>
            <w:vAlign w:val="center"/>
          </w:tcPr>
          <w:p>
            <w:pPr>
              <w:pStyle w:val="TableContents"/>
              <w:bidi w:val="0"/>
              <w:spacing w:before="0" w:after="0"/>
              <w:ind w:left="0" w:right="0" w:hanging="0"/>
              <w:jc w:val="left"/>
              <w:rPr/>
            </w:pPr>
            <w:r>
              <w:rPr/>
              <w:t> </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w:t>
            </w:r>
          </w:p>
        </w:tc>
        <w:tc>
          <w:tcPr>
            <w:tcW w:w="392"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 </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w:t>
            </w:r>
          </w:p>
        </w:tc>
      </w:tr>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770" w:type="dxa"/>
            <w:tcBorders/>
            <w:vAlign w:val="center"/>
          </w:tcPr>
          <w:p>
            <w:pPr>
              <w:pStyle w:val="TableContents"/>
              <w:bidi w:val="0"/>
              <w:spacing w:before="0" w:after="0"/>
              <w:ind w:left="0" w:right="0" w:hanging="0"/>
              <w:jc w:val="right"/>
              <w:rPr/>
            </w:pPr>
            <w:r>
              <w:rPr/>
              <w:t>​</w:t>
            </w:r>
          </w:p>
        </w:tc>
        <w:tc>
          <w:tcPr>
            <w:tcW w:w="440"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77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53"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pPr>
            <w:r>
              <w:rPr/>
              <w:t>​</w:t>
            </w:r>
          </w:p>
        </w:tc>
        <w:tc>
          <w:tcPr>
            <w:tcW w:w="392"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pPr>
            <w:r>
              <w:rPr/>
              <w:t>​</w:t>
            </w:r>
          </w:p>
        </w:tc>
      </w:tr>
      <w:tr>
        <w:trPr/>
        <w:tc>
          <w:tcPr>
            <w:tcW w:w="29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770" w:type="dxa"/>
            <w:tcBorders/>
            <w:shd w:fill="CCEEFF" w:val="clear"/>
            <w:vAlign w:val="center"/>
          </w:tcPr>
          <w:p>
            <w:pPr>
              <w:pStyle w:val="TableContents"/>
              <w:bidi w:val="0"/>
              <w:spacing w:before="0" w:after="0"/>
              <w:ind w:left="0" w:right="0" w:hanging="0"/>
              <w:jc w:val="right"/>
              <w:rPr/>
            </w:pPr>
            <w:r>
              <w:rPr/>
              <w:t>​</w:t>
            </w:r>
          </w:p>
        </w:tc>
        <w:tc>
          <w:tcPr>
            <w:tcW w:w="440"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77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pPr>
            <w:r>
              <w:rPr/>
              <w:t>​</w:t>
            </w:r>
          </w:p>
        </w:tc>
        <w:tc>
          <w:tcPr>
            <w:tcW w:w="392"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pPr>
            <w:r>
              <w:rPr/>
              <w:t>​</w:t>
            </w:r>
          </w:p>
        </w:tc>
      </w:tr>
      <w:tr>
        <w:trPr/>
        <w:tc>
          <w:tcPr>
            <w:tcW w:w="29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right-of-use assets</w:t>
            </w:r>
          </w:p>
        </w:tc>
        <w:tc>
          <w:tcPr>
            <w:tcW w:w="3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 </w:t>
            </w:r>
          </w:p>
        </w:tc>
        <w:tc>
          <w:tcPr>
            <w:tcW w:w="7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c>
          <w:tcPr>
            <w:tcW w:w="440"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 </w:t>
            </w:r>
          </w:p>
        </w:tc>
        <w:tc>
          <w:tcPr>
            <w:tcW w:w="7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c>
          <w:tcPr>
            <w:tcW w:w="326" w:type="dxa"/>
            <w:tcBorders/>
            <w:vAlign w:val="center"/>
          </w:tcPr>
          <w:p>
            <w:pPr>
              <w:pStyle w:val="TableContents"/>
              <w:bidi w:val="0"/>
              <w:spacing w:before="0" w:after="0"/>
              <w:ind w:left="0" w:right="0" w:hanging="0"/>
              <w:jc w:val="right"/>
              <w:rPr/>
            </w:pPr>
            <w:r>
              <w:rPr/>
              <w:t>​</w:t>
            </w:r>
          </w:p>
        </w:tc>
        <w:tc>
          <w:tcPr>
            <w:tcW w:w="253"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w:t>
            </w:r>
          </w:p>
        </w:tc>
        <w:tc>
          <w:tcPr>
            <w:tcW w:w="392"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w:t>
            </w:r>
          </w:p>
        </w:tc>
      </w:tr>
      <w:tr>
        <w:trPr/>
        <w:tc>
          <w:tcPr>
            <w:tcW w:w="29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on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440" w:type="dxa"/>
            <w:tcBorders/>
            <w:shd w:fill="CCEEFF" w:val="clear"/>
            <w:vAlign w:val="center"/>
          </w:tcPr>
          <w:p>
            <w:pPr>
              <w:pStyle w:val="TableContents"/>
              <w:bidi w:val="0"/>
              <w:spacing w:before="0" w:after="0"/>
              <w:ind w:left="0" w:right="0" w:hanging="0"/>
              <w:jc w:val="left"/>
              <w:rPr/>
            </w:pPr>
            <w:r>
              <w:rPr/>
              <w:t>​</w:t>
            </w:r>
          </w:p>
        </w:tc>
        <w:tc>
          <w:tcPr>
            <w:tcW w:w="2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bidi w:val="0"/>
              <w:spacing w:before="0" w:after="0"/>
              <w:ind w:left="0" w:right="0" w:hanging="0"/>
              <w:jc w:val="righ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92"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29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cost</w:t>
            </w:r>
          </w:p>
        </w:tc>
        <w:tc>
          <w:tcPr>
            <w:tcW w:w="3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 </w:t>
            </w:r>
          </w:p>
        </w:tc>
        <w:tc>
          <w:tcPr>
            <w:tcW w:w="7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w:t>
            </w:r>
          </w:p>
        </w:tc>
        <w:tc>
          <w:tcPr>
            <w:tcW w:w="440"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 </w:t>
            </w:r>
          </w:p>
        </w:tc>
        <w:tc>
          <w:tcPr>
            <w:tcW w:w="7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c>
          <w:tcPr>
            <w:tcW w:w="326" w:type="dxa"/>
            <w:tcBorders/>
            <w:vAlign w:val="center"/>
          </w:tcPr>
          <w:p>
            <w:pPr>
              <w:pStyle w:val="TableContents"/>
              <w:bidi w:val="0"/>
              <w:spacing w:before="0" w:after="0"/>
              <w:ind w:left="0" w:right="0" w:hanging="0"/>
              <w:jc w:val="right"/>
              <w:rPr/>
            </w:pPr>
            <w:r>
              <w:rPr/>
              <w:t>​</w:t>
            </w:r>
          </w:p>
        </w:tc>
        <w:tc>
          <w:tcPr>
            <w:tcW w:w="253"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w:t>
            </w:r>
          </w:p>
        </w:tc>
        <w:tc>
          <w:tcPr>
            <w:tcW w:w="392"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w:t>
            </w:r>
          </w:p>
        </w:tc>
      </w:tr>
      <w:tr>
        <w:trPr/>
        <w:tc>
          <w:tcPr>
            <w:tcW w:w="29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40" w:type="dxa"/>
            <w:tcBorders/>
            <w:shd w:fill="CCEEFF" w:val="clear"/>
            <w:vAlign w:val="center"/>
          </w:tcPr>
          <w:p>
            <w:pPr>
              <w:pStyle w:val="TableContents"/>
              <w:bidi w:val="0"/>
              <w:spacing w:before="0" w:after="0"/>
              <w:ind w:left="0" w:right="0" w:hanging="0"/>
              <w:jc w:val="left"/>
              <w:rPr/>
            </w:pPr>
            <w:r>
              <w:rPr/>
              <w:t>​</w:t>
            </w:r>
          </w:p>
        </w:tc>
        <w:tc>
          <w:tcPr>
            <w:tcW w:w="2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92"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9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cost</w:t>
            </w:r>
          </w:p>
        </w:tc>
        <w:tc>
          <w:tcPr>
            <w:tcW w:w="326" w:type="dxa"/>
            <w:tcBorders/>
            <w:vAlign w:val="center"/>
          </w:tcPr>
          <w:p>
            <w:pPr>
              <w:pStyle w:val="TableContents"/>
              <w:bidi w:val="0"/>
              <w:spacing w:before="0" w:after="0"/>
              <w:ind w:left="0" w:right="0" w:hanging="0"/>
              <w:jc w:val="left"/>
              <w:rPr/>
            </w:pPr>
            <w:r>
              <w:rPr/>
              <w:t>​</w:t>
            </w:r>
          </w:p>
        </w:tc>
        <w:tc>
          <w:tcPr>
            <w:tcW w:w="28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4,158</w:t>
            </w:r>
          </w:p>
        </w:tc>
        <w:tc>
          <w:tcPr>
            <w:tcW w:w="440" w:type="dxa"/>
            <w:tcBorders/>
            <w:vAlign w:val="center"/>
          </w:tcPr>
          <w:p>
            <w:pPr>
              <w:pStyle w:val="TableContents"/>
              <w:bidi w:val="0"/>
              <w:spacing w:before="0" w:after="0"/>
              <w:ind w:left="0" w:right="0" w:hanging="0"/>
              <w:jc w:val="left"/>
              <w:rPr/>
            </w:pPr>
            <w:r>
              <w:rPr/>
              <w:t>​</w:t>
            </w:r>
          </w:p>
        </w:tc>
        <w:tc>
          <w:tcPr>
            <w:tcW w:w="28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3,527</w:t>
            </w:r>
          </w:p>
        </w:tc>
        <w:tc>
          <w:tcPr>
            <w:tcW w:w="326" w:type="dxa"/>
            <w:tcBorders/>
            <w:vAlign w:val="center"/>
          </w:tcPr>
          <w:p>
            <w:pPr>
              <w:pStyle w:val="TableContents"/>
              <w:bidi w:val="0"/>
              <w:spacing w:before="0" w:after="0"/>
              <w:ind w:left="0" w:right="0" w:hanging="0"/>
              <w:jc w:val="right"/>
              <w:rPr/>
            </w:pPr>
            <w:r>
              <w:rPr/>
              <w:t>​</w:t>
            </w:r>
          </w:p>
        </w:tc>
        <w:tc>
          <w:tcPr>
            <w:tcW w:w="25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7,956</w:t>
            </w:r>
          </w:p>
        </w:tc>
        <w:tc>
          <w:tcPr>
            <w:tcW w:w="392" w:type="dxa"/>
            <w:tcBorders/>
            <w:vAlign w:val="center"/>
          </w:tcPr>
          <w:p>
            <w:pPr>
              <w:pStyle w:val="TableContents"/>
              <w:bidi w:val="0"/>
              <w:spacing w:before="0" w:after="0"/>
              <w:ind w:left="0" w:right="0" w:hanging="0"/>
              <w:jc w:val="left"/>
              <w:rPr/>
            </w:pPr>
            <w:r>
              <w:rPr/>
              <w:t>​</w:t>
            </w:r>
          </w:p>
        </w:tc>
        <w:tc>
          <w:tcPr>
            <w:tcW w:w="25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6,464</w:t>
            </w:r>
          </w:p>
        </w:tc>
      </w:tr>
    </w:tbl>
    <w:p>
      <w:pPr>
        <w:pStyle w:val="TextBody"/>
        <w:pBdr/>
        <w:bidi w:val="0"/>
        <w:spacing w:before="0" w:after="0"/>
        <w:ind w:left="0" w:right="0" w:hanging="72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Supplemental cash flow information related to leases was as follows:</w:t>
      </w:r>
    </w:p>
    <w:p>
      <w:pPr>
        <w:pStyle w:val="TextBody"/>
        <w:bidi w:val="0"/>
        <w:spacing w:before="0" w:after="0"/>
        <w:ind w:left="0" w:right="0" w:firstLine="720"/>
        <w:jc w:val="both"/>
        <w:rPr/>
      </w:pPr>
      <w:r>
        <w:rPr/>
        <w:t>​</w:t>
      </w:r>
    </w:p>
    <w:tbl>
      <w:tblPr>
        <w:tblW w:w="8590" w:type="dxa"/>
        <w:jc w:val="left"/>
        <w:tblInd w:w="0" w:type="dxa"/>
        <w:tblLayout w:type="fixed"/>
        <w:tblCellMar>
          <w:top w:w="0" w:type="dxa"/>
          <w:left w:w="0" w:type="dxa"/>
          <w:bottom w:w="0" w:type="dxa"/>
          <w:right w:w="0" w:type="dxa"/>
        </w:tblCellMar>
      </w:tblPr>
      <w:tblGrid>
        <w:gridCol w:w="5866"/>
        <w:gridCol w:w="326"/>
        <w:gridCol w:w="241"/>
        <w:gridCol w:w="652"/>
        <w:gridCol w:w="372"/>
        <w:gridCol w:w="241"/>
        <w:gridCol w:w="892"/>
      </w:tblGrid>
      <w:tr>
        <w:trPr/>
        <w:tc>
          <w:tcPr>
            <w:tcW w:w="58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652" w:type="dxa"/>
            <w:tcBorders/>
            <w:vAlign w:val="center"/>
          </w:tcPr>
          <w:p>
            <w:pPr>
              <w:pStyle w:val="TableContents"/>
              <w:bidi w:val="0"/>
              <w:spacing w:before="0" w:after="0"/>
              <w:ind w:left="0" w:right="0" w:hanging="0"/>
              <w:jc w:val="left"/>
              <w:rPr/>
            </w:pPr>
            <w:r>
              <w:rPr/>
              <w:t>​</w:t>
            </w:r>
          </w:p>
        </w:tc>
        <w:tc>
          <w:tcPr>
            <w:tcW w:w="372"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892" w:type="dxa"/>
            <w:tcBorders/>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9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Six-Months Ended June 30,</w:t>
            </w:r>
          </w:p>
        </w:tc>
      </w:tr>
      <w:tr>
        <w:trPr/>
        <w:tc>
          <w:tcPr>
            <w:tcW w:w="58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72" w:type="dxa"/>
            <w:tcBorders/>
            <w:vAlign w:val="center"/>
          </w:tcPr>
          <w:p>
            <w:pPr>
              <w:pStyle w:val="TableContents"/>
              <w:bidi w:val="0"/>
              <w:spacing w:before="0" w:after="0"/>
              <w:ind w:left="0" w:right="0" w:hanging="0"/>
              <w:jc w:val="left"/>
              <w:rPr/>
            </w:pPr>
            <w:r>
              <w:rPr/>
              <w:t>    </w:t>
            </w:r>
          </w:p>
        </w:tc>
        <w:tc>
          <w:tcPr>
            <w:tcW w:w="11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58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amounts included in the measurement of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652" w:type="dxa"/>
            <w:tcBorders/>
            <w:shd w:fill="CCEEFF" w:val="clear"/>
            <w:vAlign w:val="center"/>
          </w:tcPr>
          <w:p>
            <w:pPr>
              <w:pStyle w:val="TableContents"/>
              <w:bidi w:val="0"/>
              <w:spacing w:before="0" w:after="0"/>
              <w:ind w:left="0" w:right="0" w:hanging="0"/>
              <w:jc w:val="left"/>
              <w:rPr/>
            </w:pPr>
            <w:r>
              <w:rPr/>
              <w:t>​</w:t>
            </w:r>
          </w:p>
        </w:tc>
        <w:tc>
          <w:tcPr>
            <w:tcW w:w="372"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892" w:type="dxa"/>
            <w:tcBorders/>
            <w:shd w:fill="CCEEFF" w:val="clear"/>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cash outflows from operating leases</w:t>
            </w:r>
          </w:p>
        </w:tc>
        <w:tc>
          <w:tcPr>
            <w:tcW w:w="3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4,818</w:t>
            </w:r>
          </w:p>
        </w:tc>
        <w:tc>
          <w:tcPr>
            <w:tcW w:w="372"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3,682</w:t>
            </w:r>
          </w:p>
        </w:tc>
      </w:tr>
      <w:tr>
        <w:trPr/>
        <w:tc>
          <w:tcPr>
            <w:tcW w:w="58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cash outflows from finance leases</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6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72"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8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58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cash outflows from finance leases</w:t>
            </w:r>
          </w:p>
        </w:tc>
        <w:tc>
          <w:tcPr>
            <w:tcW w:w="3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6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1,683</w:t>
            </w:r>
          </w:p>
        </w:tc>
        <w:tc>
          <w:tcPr>
            <w:tcW w:w="372"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8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1,179</w:t>
            </w:r>
          </w:p>
        </w:tc>
      </w:tr>
      <w:tr>
        <w:trPr/>
        <w:tc>
          <w:tcPr>
            <w:tcW w:w="58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652" w:type="dxa"/>
            <w:tcBorders/>
            <w:shd w:fill="CCEEFF" w:val="clear"/>
            <w:vAlign w:val="center"/>
          </w:tcPr>
          <w:p>
            <w:pPr>
              <w:pStyle w:val="TableContents"/>
              <w:bidi w:val="0"/>
              <w:spacing w:before="0" w:after="0"/>
              <w:ind w:left="0" w:right="0" w:hanging="0"/>
              <w:jc w:val="right"/>
              <w:rPr/>
            </w:pPr>
            <w:r>
              <w:rPr/>
              <w:t>​</w:t>
            </w:r>
          </w:p>
        </w:tc>
        <w:tc>
          <w:tcPr>
            <w:tcW w:w="372"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892" w:type="dxa"/>
            <w:tcBorders/>
            <w:shd w:fill="CCEEFF" w:val="clear"/>
            <w:vAlign w:val="center"/>
          </w:tcPr>
          <w:p>
            <w:pPr>
              <w:pStyle w:val="TableContents"/>
              <w:bidi w:val="0"/>
              <w:spacing w:before="0" w:after="0"/>
              <w:ind w:left="0" w:right="0" w:hanging="0"/>
              <w:jc w:val="right"/>
              <w:rPr/>
            </w:pPr>
            <w:r>
              <w:rPr/>
              <w:t>​</w:t>
            </w:r>
          </w:p>
        </w:tc>
      </w:tr>
      <w:tr>
        <w:trPr/>
        <w:tc>
          <w:tcPr>
            <w:tcW w:w="58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 obtained in exchange for lease obligations:</w:t>
            </w:r>
          </w:p>
        </w:tc>
        <w:tc>
          <w:tcPr>
            <w:tcW w:w="3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652" w:type="dxa"/>
            <w:tcBorders/>
            <w:vAlign w:val="center"/>
          </w:tcPr>
          <w:p>
            <w:pPr>
              <w:pStyle w:val="TableContents"/>
              <w:bidi w:val="0"/>
              <w:spacing w:before="0" w:after="0"/>
              <w:ind w:left="0" w:right="0" w:hanging="0"/>
              <w:jc w:val="right"/>
              <w:rPr/>
            </w:pPr>
            <w:r>
              <w:rPr/>
              <w:t>​</w:t>
            </w:r>
          </w:p>
        </w:tc>
        <w:tc>
          <w:tcPr>
            <w:tcW w:w="372"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892" w:type="dxa"/>
            <w:tcBorders/>
            <w:vAlign w:val="center"/>
          </w:tcPr>
          <w:p>
            <w:pPr>
              <w:pStyle w:val="TableContents"/>
              <w:bidi w:val="0"/>
              <w:spacing w:before="0" w:after="0"/>
              <w:ind w:left="0" w:right="0" w:hanging="0"/>
              <w:jc w:val="right"/>
              <w:rPr/>
            </w:pPr>
            <w:r>
              <w:rPr/>
              <w:t>​</w:t>
            </w:r>
          </w:p>
        </w:tc>
      </w:tr>
      <w:tr>
        <w:trPr/>
        <w:tc>
          <w:tcPr>
            <w:tcW w:w="58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6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5,115</w:t>
            </w:r>
          </w:p>
        </w:tc>
        <w:tc>
          <w:tcPr>
            <w:tcW w:w="372"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8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1,561</w:t>
            </w:r>
          </w:p>
        </w:tc>
      </w:tr>
      <w:tr>
        <w:trPr/>
        <w:tc>
          <w:tcPr>
            <w:tcW w:w="58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6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1,847</w:t>
            </w:r>
          </w:p>
        </w:tc>
        <w:tc>
          <w:tcPr>
            <w:tcW w:w="372"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892"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18,339</w:t>
            </w:r>
          </w:p>
        </w:tc>
      </w:tr>
    </w:tbl>
    <w:p>
      <w:pPr>
        <w:pStyle w:val="TextBody"/>
        <w:pBdr/>
        <w:bidi w:val="0"/>
        <w:spacing w:before="0" w:after="0"/>
        <w:ind w:left="0" w:right="0" w:hanging="720"/>
        <w:jc w:val="left"/>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bookmarkStart w:id="1041" w:name="Tc_TrF-LljgC0e5s2kTtFTzBw_10_5"/>
      <w:bookmarkStart w:id="1042" w:name="Tc_6TXvYgO4mkSiD5dJFp8caQ_10_2"/>
      <w:bookmarkStart w:id="1043" w:name="Tc_KkgUPO0bCk6inOa8sO6obA_10_0"/>
      <w:bookmarkStart w:id="1044" w:name="Tc_4azyjGVcak-cHNY1A6Hqlg_9_0"/>
      <w:bookmarkStart w:id="1045" w:name="Tc_idjt9IKSEUmWMbgur3WHCQ_8_0"/>
      <w:bookmarkStart w:id="1046" w:name="Tc_-ufaPLXBxEaAeVmXGFuoFQ_7_0"/>
      <w:bookmarkStart w:id="1047" w:name="Tc_-l_ANGHz8EataKO0DhU5jw_6_0"/>
      <w:bookmarkStart w:id="1048" w:name="Tc_pq29qMDonk-hiRbjmswukg_5_0"/>
      <w:bookmarkStart w:id="1049" w:name="Tc_AR--3n1JOEOvYF3ht3tqxA_4_0"/>
      <w:bookmarkStart w:id="1050" w:name="Tc_dP0JB0ySwUGFILjF1WY3kw_3_0"/>
      <w:bookmarkStart w:id="1051" w:name="Tc_8_0WmYP95U-F-GTYMcDw6g_2_5"/>
      <w:bookmarkStart w:id="1052" w:name="Tc_bpvxLRP4yUGGSizxOmpyKw_2_2"/>
      <w:bookmarkStart w:id="1053" w:name="Tc_PkoNDqY7GUeknyNllc5-HA_2_0"/>
      <w:bookmarkStart w:id="1054" w:name="Tc_A8W4Yt2eW0GxVQspLM51jg_1_5"/>
      <w:bookmarkStart w:id="1055" w:name="Tc_1og3E-LxbEmPZ8GbtjF8Xg_1_2"/>
      <w:bookmarkStart w:id="1056" w:name="_f09d4950_4819_4ec9_bf5d_bbd390ce0ca7"/>
      <w:bookmarkStart w:id="1057" w:name="Tc_G3P0_QAbZ0G_RDxFLQgjyQ_8_5"/>
      <w:bookmarkStart w:id="1058" w:name="Tc_W4xT0VPZ9k2vEjiVq-6Ccw_8_3"/>
      <w:bookmarkStart w:id="1059" w:name="Tc_XHqFV_aw70Ktsj2-LB0HBg_8_0"/>
      <w:bookmarkStart w:id="1060" w:name="Tc_rw6jGvi_wkq15roJL1yljA_7_5"/>
      <w:bookmarkStart w:id="1061" w:name="Tc_JHf1gNrAskqW8nD0VefXAQ_7_3"/>
      <w:bookmarkStart w:id="1062" w:name="Tc_azTSyX3yZEWWNAx3DfqPow_7_0"/>
      <w:bookmarkStart w:id="1063" w:name="Tc_X0Gn_gMUp0y6M-W6Ibv3uQ_6_0"/>
      <w:bookmarkStart w:id="1064" w:name="Tc_8WSstkoEokSLbPFvUbqxwQ_4_0"/>
      <w:bookmarkStart w:id="1065" w:name="Tc_ERVwwAepzkKxiIA6b8dfaw_3_0"/>
      <w:bookmarkStart w:id="1066" w:name="Tc_IlwpGyEzLkWrFUkj1QUmYw_2_0"/>
      <w:bookmarkStart w:id="1067" w:name="Tc_FrCiK2OaHUK0ZQ7H4Oa37w_1_4"/>
      <w:bookmarkStart w:id="1068" w:name="Tc_DPbkjt4Bu0mF4-DSWbtOdg_1_2"/>
      <w:bookmarkStart w:id="1069" w:name="_a50aab39_4848_47b5_bed5_5d1eb27bbd9d"/>
      <w:bookmarkStart w:id="1070" w:name="Tc_dpTg5LrOX0eni7gkZ-ybKw_15_7"/>
      <w:bookmarkStart w:id="1071" w:name="Tc_z6jmaBj0302z-YGVqcKKpA_15_4"/>
      <w:bookmarkStart w:id="1072" w:name="Tc_gdgizz3EXU-fc1NlqkbeBw_15_0"/>
      <w:bookmarkStart w:id="1073" w:name="Tc_t76vWiH2EUSPkofQ_869OA_14_0"/>
      <w:bookmarkStart w:id="1074" w:name="Tc_HY9AGrQGCkGI1qhMP8_KEQ_13_7"/>
      <w:bookmarkStart w:id="1075" w:name="Tc_xt3ox1qd9EG8U1rvttJN-A_13_4"/>
      <w:bookmarkStart w:id="1076" w:name="Tc_KBVGBEYfaUWPrWwwtrlqeQ_13_0"/>
      <w:bookmarkStart w:id="1077" w:name="Tc_wxT7giq0TUmtqeka0vVTCA_11_7"/>
      <w:bookmarkStart w:id="1078" w:name="Tc_vto4N-Pn0kuo4x8Z7k76iA_11_4"/>
      <w:bookmarkStart w:id="1079" w:name="Tc_5E64StX9PU6qvV255JoB_A_11_0"/>
      <w:bookmarkStart w:id="1080" w:name="Tc_4C1rH8YJBkOzLoMIgNymYQ_10_0"/>
      <w:bookmarkStart w:id="1081" w:name="Tc_s3JFCeHF9EO9VnqbtiWn5w_8_7"/>
      <w:bookmarkStart w:id="1082" w:name="Tc_V9lsJR3b7kaPCzevAr6Txw_8_4"/>
      <w:bookmarkStart w:id="1083" w:name="Tc_fBQirGoszUWsDvoYaRs81A_8_0"/>
      <w:bookmarkStart w:id="1084" w:name="Tc_l0mbhqasOEaRaxxWSFGvxA_7_0"/>
      <w:bookmarkStart w:id="1085" w:name="Tc_llJ_TuoY1EmwzZTWXxAZTg_6_7"/>
      <w:bookmarkStart w:id="1086" w:name="Tc_OLY8a7Odb06ULewMvVheEg_6_4"/>
      <w:bookmarkStart w:id="1087" w:name="Tc_37BoghFPmUimFY4-VDIT1g_6_0"/>
      <w:bookmarkStart w:id="1088" w:name="Tc_-umyjsNJ4kGnYVL7Ek2JbA_4_7"/>
      <w:bookmarkStart w:id="1089" w:name="Tc_3XLRQFs7kEWs9Yi_wekbjQ_4_4"/>
      <w:bookmarkStart w:id="1090" w:name="Tc_GZFEU8PAmUGUEUvnyyy6wQ_4_0"/>
      <w:bookmarkStart w:id="1091" w:name="Tc_nZSC7PaqeESObE97l0ppzQ_3_0"/>
      <w:bookmarkStart w:id="1092" w:name="Tc_6HRSIRECJEKq4yD0_LPTOg_2_7"/>
      <w:bookmarkStart w:id="1093" w:name="Tc_vUEI9_eo4kmkMYS0H2IP4w_2_4"/>
      <w:bookmarkStart w:id="1094" w:name="Tc_LoOUD2zQZEu_3WecMsiZxQ_2_2"/>
      <w:bookmarkStart w:id="1095" w:name="Tc_t16QbenVXEe9XOLp7cy7yw_1_7"/>
      <w:bookmarkStart w:id="1096" w:name="Tc_GV9JaYIBhEmuFE2rHPPiLg_1_4"/>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r>
        <w:rPr>
          <w:rFonts w:ascii="Times New Roman;Times;serif" w:hAnsi="Times New Roman;Times;serif"/>
          <w:sz w:val="20"/>
        </w:rPr>
        <w:t>Supplemental balance sheet information related to leases was as follows:</w:t>
      </w:r>
    </w:p>
    <w:p>
      <w:pPr>
        <w:pStyle w:val="TextBody"/>
        <w:bidi w:val="0"/>
        <w:spacing w:before="0" w:after="0"/>
        <w:ind w:left="0" w:right="0" w:hanging="0"/>
        <w:jc w:val="center"/>
        <w:rPr/>
      </w:pPr>
      <w:r>
        <w:rPr/>
        <w:t>​</w:t>
      </w:r>
    </w:p>
    <w:tbl>
      <w:tblPr>
        <w:tblW w:w="8182" w:type="dxa"/>
        <w:jc w:val="left"/>
        <w:tblInd w:w="0" w:type="dxa"/>
        <w:tblLayout w:type="fixed"/>
        <w:tblCellMar>
          <w:top w:w="0" w:type="dxa"/>
          <w:left w:w="0" w:type="dxa"/>
          <w:bottom w:w="0" w:type="dxa"/>
          <w:right w:w="0" w:type="dxa"/>
        </w:tblCellMar>
      </w:tblPr>
      <w:tblGrid>
        <w:gridCol w:w="2656"/>
        <w:gridCol w:w="326"/>
        <w:gridCol w:w="2401"/>
        <w:gridCol w:w="326"/>
        <w:gridCol w:w="211"/>
        <w:gridCol w:w="676"/>
        <w:gridCol w:w="326"/>
        <w:gridCol w:w="285"/>
        <w:gridCol w:w="975"/>
      </w:tblGrid>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975" w:type="dxa"/>
            <w:tcBorders/>
            <w:vAlign w:val="center"/>
          </w:tcPr>
          <w:p>
            <w:pPr>
              <w:pStyle w:val="TableContents"/>
              <w:bidi w:val="0"/>
              <w:spacing w:before="0" w:after="0"/>
              <w:ind w:left="0" w:right="0" w:hanging="0"/>
              <w:jc w:val="left"/>
              <w:rPr/>
            </w:pPr>
            <w:r>
              <w:rPr/>
              <w:t>​</w: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w:t>
            </w:r>
          </w:p>
        </w:tc>
        <w:tc>
          <w:tcPr>
            <w:tcW w:w="32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w: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Balance Sheet Location</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26" w:type="dxa"/>
            <w:tcBorders/>
            <w:shd w:fill="CCEEFF" w:val="clear"/>
            <w:vAlign w:val="center"/>
          </w:tcPr>
          <w:p>
            <w:pPr>
              <w:pStyle w:val="TableContents"/>
              <w:bidi w:val="0"/>
              <w:spacing w:before="0" w:after="0"/>
              <w:ind w:left="0" w:right="0" w:hanging="0"/>
              <w:jc w:val="left"/>
              <w:rPr/>
            </w:pPr>
            <w:r>
              <w:rPr/>
              <w:t> </w:t>
            </w:r>
          </w:p>
        </w:tc>
        <w:tc>
          <w:tcPr>
            <w:tcW w:w="2401"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85" w:type="dxa"/>
            <w:tcBorders/>
            <w:shd w:fill="CCEEFF" w:val="clear"/>
            <w:vAlign w:val="center"/>
          </w:tcPr>
          <w:p>
            <w:pPr>
              <w:pStyle w:val="TableContents"/>
              <w:bidi w:val="0"/>
              <w:spacing w:before="0" w:after="0"/>
              <w:ind w:left="0" w:right="0" w:hanging="0"/>
              <w:jc w:val="left"/>
              <w:rPr/>
            </w:pPr>
            <w:r>
              <w:rPr/>
              <w:t>​</w:t>
            </w:r>
          </w:p>
        </w:tc>
        <w:tc>
          <w:tcPr>
            <w:tcW w:w="975" w:type="dxa"/>
            <w:tcBorders/>
            <w:shd w:fill="CCEEFF" w:val="clear"/>
            <w:vAlign w:val="center"/>
          </w:tcPr>
          <w:p>
            <w:pPr>
              <w:pStyle w:val="TableContents"/>
              <w:bidi w:val="0"/>
              <w:spacing w:before="0" w:after="0"/>
              <w:ind w:left="0" w:right="0" w:hanging="0"/>
              <w:jc w:val="right"/>
              <w:rPr/>
            </w:pPr>
            <w:r>
              <w:rPr/>
              <w:t>  </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326" w:type="dxa"/>
            <w:tcBorders/>
            <w:vAlign w:val="center"/>
          </w:tcPr>
          <w:p>
            <w:pPr>
              <w:pStyle w:val="TableContents"/>
              <w:bidi w:val="0"/>
              <w:spacing w:before="0" w:after="0"/>
              <w:ind w:left="0" w:right="0" w:hanging="0"/>
              <w:jc w:val="left"/>
              <w:rPr/>
            </w:pPr>
            <w:r>
              <w:rPr/>
              <w:t> </w:t>
            </w:r>
          </w:p>
        </w:tc>
        <w:tc>
          <w:tcPr>
            <w:tcW w:w="240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37,111</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38,012</w:t>
            </w:r>
          </w:p>
        </w:tc>
      </w:tr>
      <w:tr>
        <w:trPr/>
        <w:tc>
          <w:tcPr>
            <w:tcW w:w="265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975" w:type="dxa"/>
            <w:tcBorders/>
            <w:shd w:fill="CCEEFF" w:val="clear"/>
            <w:vAlign w:val="center"/>
          </w:tcPr>
          <w:p>
            <w:pPr>
              <w:pStyle w:val="TableContents"/>
              <w:bidi w:val="0"/>
              <w:spacing w:before="0" w:after="0"/>
              <w:ind w:left="0" w:right="0" w:hanging="0"/>
              <w:jc w:val="right"/>
              <w:rPr/>
            </w:pPr>
            <w:r>
              <w:rPr/>
              <w:t>​</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lease liabilities</w:t>
            </w:r>
          </w:p>
        </w:tc>
        <w:tc>
          <w:tcPr>
            <w:tcW w:w="326" w:type="dxa"/>
            <w:tcBorders/>
            <w:vAlign w:val="center"/>
          </w:tcPr>
          <w:p>
            <w:pPr>
              <w:pStyle w:val="TableContents"/>
              <w:bidi w:val="0"/>
              <w:spacing w:before="0" w:after="0"/>
              <w:ind w:left="0" w:right="0" w:hanging="0"/>
              <w:jc w:val="left"/>
              <w:rPr/>
            </w:pPr>
            <w:r>
              <w:rPr/>
              <w:t> </w:t>
            </w:r>
          </w:p>
        </w:tc>
        <w:tc>
          <w:tcPr>
            <w:tcW w:w="240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7,835</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7,747</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lease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28,829</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29,586</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lease liabilities</w:t>
            </w:r>
          </w:p>
        </w:tc>
        <w:tc>
          <w:tcPr>
            <w:tcW w:w="326" w:type="dxa"/>
            <w:tcBorders/>
            <w:vAlign w:val="center"/>
          </w:tcPr>
          <w:p>
            <w:pPr>
              <w:pStyle w:val="TableContents"/>
              <w:bidi w:val="0"/>
              <w:spacing w:before="0" w:after="0"/>
              <w:ind w:left="0" w:right="0" w:hanging="0"/>
              <w:jc w:val="left"/>
              <w:rPr/>
            </w:pPr>
            <w:r>
              <w:rPr/>
              <w:t> </w:t>
            </w:r>
          </w:p>
        </w:tc>
        <w:tc>
          <w:tcPr>
            <w:tcW w:w="240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36,664</w:t>
            </w:r>
          </w:p>
        </w:tc>
        <w:tc>
          <w:tcPr>
            <w:tcW w:w="326" w:type="dxa"/>
            <w:tcBorders/>
            <w:vAlign w:val="center"/>
          </w:tcPr>
          <w:p>
            <w:pPr>
              <w:pStyle w:val="TableContents"/>
              <w:bidi w:val="0"/>
              <w:spacing w:before="0" w:after="0"/>
              <w:ind w:left="0" w:right="0" w:hanging="0"/>
              <w:jc w:val="left"/>
              <w:rPr/>
            </w:pPr>
            <w:r>
              <w:rPr/>
              <w:t>​</w:t>
            </w:r>
          </w:p>
        </w:tc>
        <w:tc>
          <w:tcPr>
            <w:tcW w:w="28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37,333</w:t>
            </w:r>
          </w:p>
        </w:tc>
      </w:tr>
      <w:tr>
        <w:trPr/>
        <w:tc>
          <w:tcPr>
            <w:tcW w:w="265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975" w:type="dxa"/>
            <w:tcBorders/>
            <w:shd w:fill="CCEEFF" w:val="clear"/>
            <w:vAlign w:val="center"/>
          </w:tcPr>
          <w:p>
            <w:pPr>
              <w:pStyle w:val="TableContents"/>
              <w:bidi w:val="0"/>
              <w:spacing w:before="0" w:after="0"/>
              <w:ind w:left="0" w:right="0" w:hanging="0"/>
              <w:jc w:val="right"/>
              <w:rPr/>
            </w:pPr>
            <w:r>
              <w:rPr/>
              <w:t>​</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326" w:type="dxa"/>
            <w:tcBorders/>
            <w:vAlign w:val="center"/>
          </w:tcPr>
          <w:p>
            <w:pPr>
              <w:pStyle w:val="TableContents"/>
              <w:bidi w:val="0"/>
              <w:spacing w:before="0" w:after="0"/>
              <w:ind w:left="0" w:right="0" w:hanging="0"/>
              <w:jc w:val="left"/>
              <w:rPr/>
            </w:pPr>
            <w:r>
              <w:rPr/>
              <w:t> </w:t>
            </w:r>
          </w:p>
        </w:tc>
        <w:tc>
          <w:tcPr>
            <w:tcW w:w="240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975" w:type="dxa"/>
            <w:tcBorders/>
            <w:vAlign w:val="center"/>
          </w:tcPr>
          <w:p>
            <w:pPr>
              <w:pStyle w:val="TableContents"/>
              <w:bidi w:val="0"/>
              <w:spacing w:before="0" w:after="0"/>
              <w:ind w:left="0" w:right="0" w:hanging="0"/>
              <w:jc w:val="right"/>
              <w:rPr/>
            </w:pPr>
            <w:r>
              <w:rPr/>
              <w:t>  </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326" w:type="dxa"/>
            <w:tcBorders/>
            <w:shd w:fill="CCEEFF" w:val="clear"/>
            <w:vAlign w:val="center"/>
          </w:tcPr>
          <w:p>
            <w:pPr>
              <w:pStyle w:val="TableContents"/>
              <w:bidi w:val="0"/>
              <w:spacing w:before="0" w:after="0"/>
              <w:ind w:left="0" w:right="0" w:hanging="0"/>
              <w:jc w:val="left"/>
              <w:rPr/>
            </w:pPr>
            <w:r>
              <w:rPr/>
              <w:t> </w:t>
            </w:r>
          </w:p>
        </w:tc>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5,335</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1,598</w: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975" w:type="dxa"/>
            <w:tcBorders/>
            <w:vAlign w:val="center"/>
          </w:tcPr>
          <w:p>
            <w:pPr>
              <w:pStyle w:val="TableContents"/>
              <w:bidi w:val="0"/>
              <w:spacing w:before="0" w:after="0"/>
              <w:ind w:left="0" w:right="0" w:hanging="0"/>
              <w:jc w:val="right"/>
              <w:rPr/>
            </w:pPr>
            <w:r>
              <w:rPr/>
              <w:t>​</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lease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4,205</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757</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lease liabilities</w:t>
            </w:r>
          </w:p>
        </w:tc>
        <w:tc>
          <w:tcPr>
            <w:tcW w:w="326" w:type="dxa"/>
            <w:tcBorders/>
            <w:vAlign w:val="center"/>
          </w:tcPr>
          <w:p>
            <w:pPr>
              <w:pStyle w:val="TableContents"/>
              <w:bidi w:val="0"/>
              <w:spacing w:before="0" w:after="0"/>
              <w:ind w:left="0" w:right="0" w:hanging="0"/>
              <w:jc w:val="left"/>
              <w:rPr/>
            </w:pPr>
            <w:r>
              <w:rPr/>
              <w:t> </w:t>
            </w:r>
          </w:p>
        </w:tc>
        <w:tc>
          <w:tcPr>
            <w:tcW w:w="240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vAlign w:val="center"/>
          </w:tcPr>
          <w:p>
            <w:pPr>
              <w:pStyle w:val="TableContents"/>
              <w:bidi w:val="0"/>
              <w:spacing w:before="0" w:after="0"/>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finance lease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2401"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4,234</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798</w:t>
            </w:r>
          </w:p>
        </w:tc>
      </w:tr>
    </w:tbl>
    <w:p>
      <w:pPr>
        <w:pStyle w:val="TextBody"/>
        <w:bidi w:val="0"/>
        <w:spacing w:before="0" w:after="0"/>
        <w:ind w:left="0" w:right="0" w:hanging="0"/>
        <w:jc w:val="center"/>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Weighted-average remaining lease term and weighted-average discount rate for the Company’s leases were as follows:</w:t>
      </w:r>
    </w:p>
    <w:p>
      <w:pPr>
        <w:pStyle w:val="TextBody"/>
        <w:bidi w:val="0"/>
        <w:spacing w:before="0" w:after="0"/>
        <w:ind w:left="0" w:right="0" w:firstLine="720"/>
        <w:jc w:val="both"/>
        <w:rPr/>
      </w:pPr>
      <w:r>
        <w:rPr/>
        <w:t>​</w:t>
      </w:r>
    </w:p>
    <w:tbl>
      <w:tblPr>
        <w:tblW w:w="7869" w:type="dxa"/>
        <w:jc w:val="left"/>
        <w:tblInd w:w="0" w:type="dxa"/>
        <w:tblLayout w:type="fixed"/>
        <w:tblCellMar>
          <w:top w:w="0" w:type="dxa"/>
          <w:left w:w="0" w:type="dxa"/>
          <w:bottom w:w="0" w:type="dxa"/>
          <w:right w:w="0" w:type="dxa"/>
        </w:tblCellMar>
      </w:tblPr>
      <w:tblGrid>
        <w:gridCol w:w="4066"/>
        <w:gridCol w:w="109"/>
        <w:gridCol w:w="1246"/>
        <w:gridCol w:w="361"/>
        <w:gridCol w:w="1681"/>
        <w:gridCol w:w="406"/>
      </w:tblGrid>
      <w:tr>
        <w:trPr/>
        <w:tc>
          <w:tcPr>
            <w:tcW w:w="4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581910" cy="175260"/>
                      <wp:effectExtent l="0" t="0" r="0" b="0"/>
                      <wp:wrapNone/>
                      <wp:docPr id="156" name="Frame156"/>
                      <a:graphic xmlns:a="http://schemas.openxmlformats.org/drawingml/2006/main">
                        <a:graphicData uri="http://schemas.microsoft.com/office/word/2010/wordprocessingShape">
                          <wps:wsp>
                            <wps:cNvSpPr txBox="1"/>
                            <wps:spPr>
                              <a:xfrm>
                                <a:off x="0" y="0"/>
                                <a:ext cx="2581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9215" cy="175260"/>
                      <wp:effectExtent l="0" t="0" r="0" b="0"/>
                      <wp:wrapNone/>
                      <wp:docPr id="157" name="Frame1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791210" cy="175260"/>
                      <wp:effectExtent l="0" t="0" r="0" b="0"/>
                      <wp:wrapNone/>
                      <wp:docPr id="158" name="Frame158"/>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29235" cy="175260"/>
                      <wp:effectExtent l="0" t="0" r="0" b="0"/>
                      <wp:wrapNone/>
                      <wp:docPr id="159" name="Frame15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067435" cy="175260"/>
                      <wp:effectExtent l="0" t="0" r="0" b="0"/>
                      <wp:wrapNone/>
                      <wp:docPr id="160" name="Frame160"/>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57810" cy="175260"/>
                      <wp:effectExtent l="0" t="0" r="0" b="0"/>
                      <wp:wrapNone/>
                      <wp:docPr id="161" name="Frame161"/>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2023</w:t>
            </w:r>
          </w:p>
        </w:tc>
        <w:tc>
          <w:tcPr>
            <w:tcW w:w="361" w:type="dxa"/>
            <w:tcBorders/>
            <w:vAlign w:val="center"/>
          </w:tcPr>
          <w:p>
            <w:pPr>
              <w:pStyle w:val="TableContents"/>
              <w:bidi w:val="0"/>
              <w:spacing w:before="0" w:after="0"/>
              <w:ind w:left="0" w:right="0" w:hanging="0"/>
              <w:jc w:val="left"/>
              <w:rPr/>
            </w:pPr>
            <w:r>
              <w:rPr/>
              <w:t>​</w:t>
            </w:r>
          </w:p>
        </w:tc>
        <w:tc>
          <w:tcPr>
            <w:tcW w:w="16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2022</w:t>
            </w:r>
          </w:p>
        </w:tc>
        <w:tc>
          <w:tcPr>
            <w:tcW w:w="406" w:type="dxa"/>
            <w:tcBorders/>
            <w:vAlign w:val="center"/>
          </w:tcPr>
          <w:p>
            <w:pPr>
              <w:pStyle w:val="TableContents"/>
              <w:bidi w:val="0"/>
              <w:spacing w:before="0" w:after="0"/>
              <w:ind w:left="0" w:right="0" w:hanging="0"/>
              <w:jc w:val="left"/>
              <w:rPr/>
            </w:pPr>
            <w:r>
              <w:rPr/>
              <w:t>​</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remaining lease term in years:</w:t>
            </w:r>
          </w:p>
        </w:tc>
        <w:tc>
          <w:tcPr>
            <w:tcW w:w="109" w:type="dxa"/>
            <w:tcBorders/>
            <w:shd w:fill="CCEEFF" w:val="clear"/>
            <w:vAlign w:val="center"/>
          </w:tcPr>
          <w:p>
            <w:pPr>
              <w:pStyle w:val="TableContents"/>
              <w:bidi w:val="0"/>
              <w:spacing w:before="0" w:after="0"/>
              <w:ind w:left="0" w:right="0" w:hanging="0"/>
              <w:jc w:val="left"/>
              <w:rPr/>
            </w:pPr>
            <w:r>
              <w:rPr/>
              <w:t>​</w:t>
            </w:r>
          </w:p>
        </w:tc>
        <w:tc>
          <w:tcPr>
            <w:tcW w:w="1246"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681"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pPr>
            <w:r>
              <w:rPr/>
              <w:t>​</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109"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361" w:type="dxa"/>
            <w:tcBorders/>
            <w:vAlign w:val="center"/>
          </w:tcPr>
          <w:p>
            <w:pPr>
              <w:pStyle w:val="TableContents"/>
              <w:bidi w:val="0"/>
              <w:spacing w:before="0" w:after="0"/>
              <w:ind w:left="0" w:right="0" w:hanging="0"/>
              <w:jc w:val="left"/>
              <w:rPr/>
            </w:pPr>
            <w:r>
              <w:rPr/>
              <w:t> </w:t>
            </w:r>
          </w:p>
        </w:tc>
        <w:tc>
          <w:tcPr>
            <w:tcW w:w="16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406" w:type="dxa"/>
            <w:tcBorders/>
            <w:vAlign w:val="center"/>
          </w:tcPr>
          <w:p>
            <w:pPr>
              <w:pStyle w:val="TableContents"/>
              <w:bidi w:val="0"/>
              <w:spacing w:before="0" w:after="0"/>
              <w:ind w:left="0" w:right="0" w:hanging="0"/>
              <w:jc w:val="left"/>
              <w:rPr/>
            </w:pPr>
            <w:r>
              <w:rPr/>
              <w:t>​</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109"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61" w:type="dxa"/>
            <w:tcBorders/>
            <w:shd w:fill="CCEEFF" w:val="clear"/>
            <w:vAlign w:val="center"/>
          </w:tcPr>
          <w:p>
            <w:pPr>
              <w:pStyle w:val="TableContents"/>
              <w:bidi w:val="0"/>
              <w:spacing w:before="0" w:after="0"/>
              <w:ind w:left="0" w:right="0" w:hanging="0"/>
              <w:jc w:val="left"/>
              <w:rPr/>
            </w:pPr>
            <w:r>
              <w:rPr/>
              <w:t>​</w:t>
            </w:r>
          </w:p>
        </w:tc>
        <w:tc>
          <w:tcPr>
            <w:tcW w:w="16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40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168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discount rate:</w:t>
            </w:r>
          </w:p>
        </w:tc>
        <w:tc>
          <w:tcPr>
            <w:tcW w:w="109"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681"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109"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6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109"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6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outlines maturities of the Company’s lease liabilities as of June 30, 2023:</w:t>
      </w:r>
    </w:p>
    <w:p>
      <w:pPr>
        <w:pStyle w:val="TextBody"/>
        <w:bidi w:val="0"/>
        <w:spacing w:before="0" w:after="0"/>
        <w:ind w:left="0" w:right="0" w:firstLine="720"/>
        <w:jc w:val="both"/>
        <w:rPr/>
      </w:pPr>
      <w:r>
        <w:rPr/>
        <w:t>​</w:t>
      </w:r>
    </w:p>
    <w:tbl>
      <w:tblPr>
        <w:tblW w:w="7495" w:type="dxa"/>
        <w:jc w:val="left"/>
        <w:tblInd w:w="0" w:type="dxa"/>
        <w:tblLayout w:type="fixed"/>
        <w:tblCellMar>
          <w:top w:w="0" w:type="dxa"/>
          <w:left w:w="0" w:type="dxa"/>
          <w:bottom w:w="0" w:type="dxa"/>
          <w:right w:w="0" w:type="dxa"/>
        </w:tblCellMar>
      </w:tblPr>
      <w:tblGrid>
        <w:gridCol w:w="3961"/>
        <w:gridCol w:w="326"/>
        <w:gridCol w:w="357"/>
        <w:gridCol w:w="1144"/>
        <w:gridCol w:w="326"/>
        <w:gridCol w:w="328"/>
        <w:gridCol w:w="1053"/>
      </w:tblGrid>
      <w:tr>
        <w:trPr/>
        <w:tc>
          <w:tcPr>
            <w:tcW w:w="3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w:t>
            </w:r>
          </w:p>
        </w:tc>
        <w:tc>
          <w:tcPr>
            <w:tcW w:w="114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053" w:type="dxa"/>
            <w:tcBorders/>
            <w:vAlign w:val="center"/>
          </w:tcPr>
          <w:p>
            <w:pPr>
              <w:pStyle w:val="TableContents"/>
              <w:bidi w:val="0"/>
              <w:spacing w:before="0" w:after="0"/>
              <w:ind w:left="0" w:right="0" w:hanging="0"/>
              <w:jc w:val="left"/>
              <w:rPr/>
            </w:pPr>
            <w:r>
              <w:rPr/>
              <w:t>​</w:t>
            </w:r>
          </w:p>
        </w:tc>
      </w:tr>
      <w:tr>
        <w:trPr/>
        <w:tc>
          <w:tcPr>
            <w:tcW w:w="3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Operating Leases</w:t>
            </w:r>
          </w:p>
        </w:tc>
        <w:tc>
          <w:tcPr>
            <w:tcW w:w="326" w:type="dxa"/>
            <w:tcBorders/>
            <w:vAlign w:val="center"/>
          </w:tcPr>
          <w:p>
            <w:pPr>
              <w:pStyle w:val="TableContents"/>
              <w:bidi w:val="0"/>
              <w:spacing w:before="0" w:after="0"/>
              <w:ind w:left="0" w:right="0" w:hanging="0"/>
              <w:jc w:val="left"/>
              <w:rPr/>
            </w:pPr>
            <w:r>
              <w:rPr/>
              <w:t>    </w:t>
            </w:r>
          </w:p>
        </w:tc>
        <w:tc>
          <w:tcPr>
            <w:tcW w:w="13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Finance Leases</w:t>
            </w:r>
          </w:p>
        </w:tc>
      </w:tr>
      <w:tr>
        <w:trPr/>
        <w:tc>
          <w:tcPr>
            <w:tcW w:w="39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2023 (from July 1, 2023 to 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4,592</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2,711</w:t>
            </w:r>
          </w:p>
        </w:tc>
      </w:tr>
      <w:tr>
        <w:trPr/>
        <w:tc>
          <w:tcPr>
            <w:tcW w:w="39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 </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8,089</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0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1,620</w:t>
            </w:r>
          </w:p>
        </w:tc>
      </w:tr>
      <w:tr>
        <w:trPr/>
        <w:tc>
          <w:tcPr>
            <w:tcW w:w="39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pPr>
            <w:r>
              <w:rPr/>
              <w:t> </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5,962</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0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39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 </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4,780</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0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39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4,650</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053" w:type="dxa"/>
            <w:tcBorders/>
            <w:shd w:fill="CCEEFF" w:val="clear"/>
            <w:vAlign w:val="center"/>
          </w:tcPr>
          <w:p>
            <w:pPr>
              <w:pStyle w:val="TableContents"/>
              <w:bidi w:val="0"/>
              <w:spacing w:before="0" w:after="0"/>
              <w:ind w:left="0" w:right="0" w:hanging="0"/>
              <w:jc w:val="right"/>
              <w:rPr/>
            </w:pPr>
            <w:r>
              <w:rPr/>
              <w:t>—</w:t>
            </w:r>
          </w:p>
        </w:tc>
      </w:tr>
      <w:tr>
        <w:trPr/>
        <w:tc>
          <w:tcPr>
            <w:tcW w:w="39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 and thereafter</w:t>
            </w:r>
          </w:p>
        </w:tc>
        <w:tc>
          <w:tcPr>
            <w:tcW w:w="326" w:type="dxa"/>
            <w:tcBorders/>
            <w:vAlign w:val="center"/>
          </w:tcPr>
          <w:p>
            <w:pPr>
              <w:pStyle w:val="TableContents"/>
              <w:bidi w:val="0"/>
              <w:spacing w:before="0" w:after="0"/>
              <w:ind w:left="0" w:right="0" w:hanging="0"/>
              <w:jc w:val="left"/>
              <w:rPr/>
            </w:pPr>
            <w:r>
              <w:rPr/>
              <w:t>​</w:t>
            </w:r>
          </w:p>
        </w:tc>
        <w:tc>
          <w:tcPr>
            <w:tcW w:w="35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13,183</w:t>
            </w:r>
          </w:p>
        </w:tc>
        <w:tc>
          <w:tcPr>
            <w:tcW w:w="326" w:type="dxa"/>
            <w:tcBorders/>
            <w:vAlign w:val="center"/>
          </w:tcPr>
          <w:p>
            <w:pPr>
              <w:pStyle w:val="TableContents"/>
              <w:bidi w:val="0"/>
              <w:spacing w:before="0" w:after="0"/>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9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32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pPr>
            <w:r>
              <w:rPr/>
              <w:t> </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41,256</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0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4,350</w:t>
            </w:r>
          </w:p>
        </w:tc>
      </w:tr>
      <w:tr>
        <w:trPr/>
        <w:tc>
          <w:tcPr>
            <w:tcW w:w="39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326" w:type="dxa"/>
            <w:tcBorders/>
            <w:vAlign w:val="center"/>
          </w:tcPr>
          <w:p>
            <w:pPr>
              <w:pStyle w:val="TableContents"/>
              <w:bidi w:val="0"/>
              <w:spacing w:before="0" w:after="0"/>
              <w:ind w:left="0" w:right="0" w:hanging="0"/>
              <w:jc w:val="left"/>
              <w:rPr/>
            </w:pPr>
            <w:r>
              <w:rPr/>
              <w:t>​</w:t>
            </w:r>
          </w:p>
        </w:tc>
        <w:tc>
          <w:tcPr>
            <w:tcW w:w="35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(4,592)</w:t>
            </w:r>
          </w:p>
        </w:tc>
        <w:tc>
          <w:tcPr>
            <w:tcW w:w="326" w:type="dxa"/>
            <w:tcBorders/>
            <w:vAlign w:val="center"/>
          </w:tcPr>
          <w:p>
            <w:pPr>
              <w:pStyle w:val="TableContents"/>
              <w:bidi w:val="0"/>
              <w:spacing w:before="0" w:after="0"/>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r>
      <w:tr>
        <w:trPr/>
        <w:tc>
          <w:tcPr>
            <w:tcW w:w="39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3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36,664</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4,234</w:t>
            </w:r>
          </w:p>
        </w:tc>
      </w:tr>
    </w:tbl>
    <w:p>
      <w:pPr>
        <w:pStyle w:val="TextBody"/>
        <w:pBdr/>
        <w:bidi w:val="0"/>
        <w:spacing w:before="0" w:after="0"/>
        <w:ind w:left="0" w:right="0" w:hanging="72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As of June 30, 2023, the Company did not have any significant additional leases that had not yet commenced.</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097" w:name="Tc_Sqqq1953D0W79RXmLY_s6A_17_17"/>
      <w:bookmarkStart w:id="1098" w:name="Tc_tYw9omIdr0eE5OcbwplF0A_17_14"/>
      <w:bookmarkStart w:id="1099" w:name="Tc_E5yfSIKBm0uVlw3dAMMvCg_17_11"/>
      <w:bookmarkStart w:id="1100" w:name="Tc_oXORmLv6a06KQz5NgGOMdw_17_8"/>
      <w:bookmarkStart w:id="1101" w:name="Tc_nALPQYGvc0u7ojgABkOL0Q_17_5"/>
      <w:bookmarkStart w:id="1102" w:name="Tc_Tp138V4wb0SYY1SYpz_nZA_17_2"/>
      <w:bookmarkStart w:id="1103" w:name="Tc_HYI_aBubcky8YzJ4MOs5xw_17_0"/>
      <w:bookmarkStart w:id="1104" w:name="Tc_3ONMCdWp802dTI4PaU1m2Q_16_0"/>
      <w:bookmarkStart w:id="1105" w:name="Tc_bA7YDRLnBk2U-697iYt08g_15_0"/>
      <w:bookmarkStart w:id="1106" w:name="Tc_PxDT345rVkah6sjzPKuzsg_14_0"/>
      <w:bookmarkStart w:id="1107" w:name="Tc_GJopOYX3s0eNm0TP2aY6fg_13_0"/>
      <w:bookmarkStart w:id="1108" w:name="Tc_GRYWSrS7QE2RpW8FmJ1pNw_12_0"/>
      <w:bookmarkStart w:id="1109" w:name="Tc_-vhRIQtaO0eHUvfFtw--GA_11_0"/>
      <w:bookmarkStart w:id="1110" w:name="Tc_DAy9t-Hm6ES1sw5e2N7fcg_10_0"/>
      <w:bookmarkStart w:id="1111" w:name="Tc_UGe3JCP85UmBT_mybNh5iQ_9_0"/>
      <w:bookmarkStart w:id="1112" w:name="Tc_cG2cHgZqpkSG96i1pDgcNQ_8_17"/>
      <w:bookmarkStart w:id="1113" w:name="Tc__W-9SJxMLk2fGOaA0c1Kng_8_14"/>
      <w:bookmarkStart w:id="1114" w:name="Tc_f8VYQpY_7EOycTBhR25-sg_8_11"/>
      <w:bookmarkStart w:id="1115" w:name="Tc_i_Al_9bEek2grXBHvuVQOA_8_8"/>
      <w:bookmarkStart w:id="1116" w:name="Tc_Uo6Jlz10kkihLrNyn-Wh6w_8_5"/>
      <w:bookmarkStart w:id="1117" w:name="Tc_oirnYZx8_EmswNDDX0usiQ_8_2"/>
      <w:bookmarkStart w:id="1118" w:name="Tc_xvZjE34SgE-2jJNZcIIFMA_8_0"/>
      <w:bookmarkStart w:id="1119" w:name="Tc_v18HFfR13Eerk9SD-8F79g_7_0"/>
      <w:bookmarkStart w:id="1120" w:name="Tc_fL_x-lKbmkGNhltd_O8uEA_6_0"/>
      <w:bookmarkStart w:id="1121" w:name="Tc_cjVQTyn3E0uVsRPfFn1-ew_5_17"/>
      <w:bookmarkStart w:id="1122" w:name="Tc_jyUjUWz_F06MjNEkyPql-A_5_14"/>
      <w:bookmarkStart w:id="1123" w:name="Tc_tA8nzdmiT0aq9DzJ7r_uuA_5_11"/>
      <w:bookmarkStart w:id="1124" w:name="Tc_KFyXA0Yw1UaGk0wv2yqAWQ_5_8"/>
      <w:bookmarkStart w:id="1125" w:name="Tc_VxJVszJ67ESgptsqKX0_og_5_5"/>
      <w:bookmarkStart w:id="1126" w:name="Tc_4SgV_U-CY0iOmUQ_Mb2K0g_5_2"/>
      <w:bookmarkStart w:id="1127" w:name="Tc_I6u-p6S2T0eqWk0KnKiUHQ_5_0"/>
      <w:bookmarkStart w:id="1128" w:name="Tc_suYlABPklkGmn1qF-1VHcA_4_17"/>
      <w:bookmarkStart w:id="1129" w:name="Tc_Ywn0-iIU00ue-5lKBiOHeQ_4_14"/>
      <w:bookmarkStart w:id="1130" w:name="Tc_DLHSiata-UqU6hD7v85n8w_4_11"/>
      <w:bookmarkStart w:id="1131" w:name="Tc_XCPTjGSibEyVzevXMYhGbg_4_8"/>
      <w:bookmarkStart w:id="1132" w:name="Tc_26m9HOu-TEChphUBfTdYzQ_4_5"/>
      <w:bookmarkStart w:id="1133" w:name="Tc_vNPVHiAQWEyC5F_-UBKgrQ_4_2"/>
      <w:bookmarkStart w:id="1134" w:name="Tc_5eX_mXYAVUGsHAcPpsUpFw_3_17"/>
      <w:bookmarkStart w:id="1135" w:name="Tc_lnUkzTsP_E2pEpJ3T7yi1A_3_14"/>
      <w:bookmarkStart w:id="1136" w:name="Tc_o7G3xSyVdUaR8rawnzNopA_3_8"/>
      <w:bookmarkStart w:id="1137" w:name="Tc_XnKbbdGdbE-e2D1AgemOAg_3_5"/>
      <w:bookmarkStart w:id="1138" w:name="Tc_ByYV8g9YWk-l40WYH8e2KA_2_17"/>
      <w:bookmarkStart w:id="1139" w:name="Tc_QsfJ7MHrv0SZIG3pbKXNWg_2_14"/>
      <w:bookmarkStart w:id="1140" w:name="Tc_60XGhdVoUkay8vYjHcWjNA_2_8"/>
      <w:bookmarkStart w:id="1141" w:name="Tc_tCJVIwFlxUmyjf2aK4peyA_2_5"/>
      <w:bookmarkStart w:id="1142" w:name="Tc__b_1uCG6KE-BeTk1o5fjaw_1_17"/>
      <w:bookmarkStart w:id="1143" w:name="Tc_lEuRI6oGr0isTXyHmQ-nYQ_1_14"/>
      <w:bookmarkStart w:id="1144" w:name="_70f6e449_0dc7_44d2_a9a5_90f16c5af2d1"/>
      <w:bookmarkStart w:id="1145" w:name="Tc_yG-hijLYeEyKdr7XY4pVsA_18_17"/>
      <w:bookmarkStart w:id="1146" w:name="Tc_HBICj1s9ekOFhFzG1Aty7w_18_14"/>
      <w:bookmarkStart w:id="1147" w:name="Tc_9kLB1n3Myk-jNc1GMEvTEw_18_11"/>
      <w:bookmarkStart w:id="1148" w:name="Tc_ei-uveYZekqnwV1HjsvIww_18_8"/>
      <w:bookmarkStart w:id="1149" w:name="Tc_A9_xs_OCJkSWygX3Zrq6sA_18_5"/>
      <w:bookmarkStart w:id="1150" w:name="Tc_hkusMHdtN0SlqJBfXYm9oQ_18_2"/>
      <w:bookmarkStart w:id="1151" w:name="Tc_D6_ZXhCglEOH1utVgWzSdg_18_0"/>
      <w:bookmarkStart w:id="1152" w:name="Tc_E-3PRS0BOU2F5JbUWPdt0Q_17_0"/>
      <w:bookmarkStart w:id="1153" w:name="Tc_Hj-JZfysW0CS9O7b3fWM1Q_16_0"/>
      <w:bookmarkStart w:id="1154" w:name="Tc__FqxD18-e0KsYzj3--Goag_15_0"/>
      <w:bookmarkStart w:id="1155" w:name="Tc_jZWTsL81zk6NsIxRo_WbxA_14_0"/>
      <w:bookmarkStart w:id="1156" w:name="Tc_ww2RXhyS4U2n_XE6hWq3Ow_13_0"/>
      <w:bookmarkStart w:id="1157" w:name="Tc_AcHced-W60-O2MZz4BJusA_12_0"/>
      <w:bookmarkStart w:id="1158" w:name="Tc_rksAxLZxY0-VwJeNHBTGxg_11_0"/>
      <w:bookmarkStart w:id="1159" w:name="Tc_FcxJZHByCkain4s6QLZAXA_10_0"/>
      <w:bookmarkStart w:id="1160" w:name="Tc_5kHaTqdjSUyIQl3awZdVMg_9_0"/>
      <w:bookmarkStart w:id="1161" w:name="Tc_YmgcKnxVmEGxKDJXQaSRxQ_8_17"/>
      <w:bookmarkStart w:id="1162" w:name="Tc_kZ7fT9NVmkaLnLlNwdY9xw_8_14"/>
      <w:bookmarkStart w:id="1163" w:name="Tc_nho68aQ88kGzle2LR6aqig_8_11"/>
      <w:bookmarkStart w:id="1164" w:name="Tc_7TKZrULfi0uOrHg1wfvBXQ_8_8"/>
      <w:bookmarkStart w:id="1165" w:name="Tc_Wvz2csWaZES5NQu-V677CQ_8_5"/>
      <w:bookmarkStart w:id="1166" w:name="Tc_VilauDUU70mHksZwutdxGw_8_2"/>
      <w:bookmarkStart w:id="1167" w:name="Tc_Mxae5qz9kUm_aX0lz7ilxw_8_0"/>
      <w:bookmarkStart w:id="1168" w:name="Tc_BMq2lFv3CUWujYzXYehLjg_7_0"/>
      <w:bookmarkStart w:id="1169" w:name="Tc_o_7zT0RBpEeTfE04HcpSQw_6_0"/>
      <w:bookmarkStart w:id="1170" w:name="Tc_VM9vp_kve0mxa5RJwRyScQ_5_17"/>
      <w:bookmarkStart w:id="1171" w:name="Tc_P6RlzBx6eEGUTqlXLxDCRQ_5_14"/>
      <w:bookmarkStart w:id="1172" w:name="Tc_3V0Ara6P8EeacCYwAyNPag_5_11"/>
      <w:bookmarkStart w:id="1173" w:name="Tc_4S5FYUJYQ0i0MGYqygjrSw_5_8"/>
      <w:bookmarkStart w:id="1174" w:name="Tc_eWC9BRlCKk-aqNDsLyy1AQ_5_5"/>
      <w:bookmarkStart w:id="1175" w:name="Tc_Ig-_4PRU206DMew94g5e4A_5_2"/>
      <w:bookmarkStart w:id="1176" w:name="Tc_Yd3QauwpikCXkhwcpyEEJQ_5_0"/>
      <w:bookmarkStart w:id="1177" w:name="Tc_pA2HOFfyq0uYO1PcgcbwmA_4_17"/>
      <w:bookmarkStart w:id="1178" w:name="Tc_lEWUjslY7kSfazuZb5O7-Q_4_14"/>
      <w:bookmarkStart w:id="1179" w:name="Tc_qp5XdC7MnUeWoaVtncC7Eg_4_11"/>
      <w:bookmarkStart w:id="1180" w:name="Tc_sGEJitYEJE6kD4NMxpdzIQ_4_8"/>
      <w:bookmarkStart w:id="1181" w:name="Tc_9gl8bSo2B0WmCbjTg0RMMA_4_5"/>
      <w:bookmarkStart w:id="1182" w:name="Tc_O55WbBI74EuaEEIOjv5AUQ_4_2"/>
      <w:bookmarkStart w:id="1183" w:name="Tc_XOJqrtgE1UmVMmOhOn-JIQ_3_17"/>
      <w:bookmarkStart w:id="1184" w:name="Tc_F43zoqL5aUOrtdn_U11BaQ_3_14"/>
      <w:bookmarkStart w:id="1185" w:name="Tc_8uRzrAq4AUyiYxMqYyhe7A_3_8"/>
      <w:bookmarkStart w:id="1186" w:name="Tc_u2puzPBfTE2NuRHI9huTog_3_5"/>
      <w:bookmarkStart w:id="1187" w:name="Tc_nXq_lSVxUUmkoTXCEOMDug_2_17"/>
      <w:bookmarkStart w:id="1188" w:name="Tc_leZrq7leq0Weq-OW8hkU3w_2_14"/>
      <w:bookmarkStart w:id="1189" w:name="Tc_WUr68ajtM02-bSzzLw0dGQ_2_8"/>
      <w:bookmarkStart w:id="1190" w:name="Tc_fLZ3Eh9rVU2Zt6NkZ-HOtQ_2_5"/>
      <w:bookmarkStart w:id="1191" w:name="Tc_d2pDPxenGkqo2y8NPJHOJQ_1_17"/>
      <w:bookmarkStart w:id="1192" w:name="Tc_w4yNugMYj0SNfXQ4PBFDxQ_1_14"/>
      <w:bookmarkStart w:id="1193" w:name="_026d188c_8915_4d0d_b5c1_d150c615332f"/>
      <w:bookmarkStart w:id="1194" w:name="Tc_Sqqq1953D0W79RXmLY_s6A_17_17"/>
      <w:bookmarkStart w:id="1195" w:name="Tc_tYw9omIdr0eE5OcbwplF0A_17_14"/>
      <w:bookmarkStart w:id="1196" w:name="Tc_E5yfSIKBm0uVlw3dAMMvCg_17_11"/>
      <w:bookmarkStart w:id="1197" w:name="Tc_oXORmLv6a06KQz5NgGOMdw_17_8"/>
      <w:bookmarkStart w:id="1198" w:name="Tc_nALPQYGvc0u7ojgABkOL0Q_17_5"/>
      <w:bookmarkStart w:id="1199" w:name="Tc_Tp138V4wb0SYY1SYpz_nZA_17_2"/>
      <w:bookmarkStart w:id="1200" w:name="Tc_HYI_aBubcky8YzJ4MOs5xw_17_0"/>
      <w:bookmarkStart w:id="1201" w:name="Tc_3ONMCdWp802dTI4PaU1m2Q_16_0"/>
      <w:bookmarkStart w:id="1202" w:name="Tc_bA7YDRLnBk2U-697iYt08g_15_0"/>
      <w:bookmarkStart w:id="1203" w:name="Tc_PxDT345rVkah6sjzPKuzsg_14_0"/>
      <w:bookmarkStart w:id="1204" w:name="Tc_GJopOYX3s0eNm0TP2aY6fg_13_0"/>
      <w:bookmarkStart w:id="1205" w:name="Tc_GRYWSrS7QE2RpW8FmJ1pNw_12_0"/>
      <w:bookmarkStart w:id="1206" w:name="Tc_-vhRIQtaO0eHUvfFtw--GA_11_0"/>
      <w:bookmarkStart w:id="1207" w:name="Tc_DAy9t-Hm6ES1sw5e2N7fcg_10_0"/>
      <w:bookmarkStart w:id="1208" w:name="Tc_UGe3JCP85UmBT_mybNh5iQ_9_0"/>
      <w:bookmarkStart w:id="1209" w:name="Tc_cG2cHgZqpkSG96i1pDgcNQ_8_17"/>
      <w:bookmarkStart w:id="1210" w:name="Tc__W-9SJxMLk2fGOaA0c1Kng_8_14"/>
      <w:bookmarkStart w:id="1211" w:name="Tc_f8VYQpY_7EOycTBhR25-sg_8_11"/>
      <w:bookmarkStart w:id="1212" w:name="Tc_i_Al_9bEek2grXBHvuVQOA_8_8"/>
      <w:bookmarkStart w:id="1213" w:name="Tc_Uo6Jlz10kkihLrNyn-Wh6w_8_5"/>
      <w:bookmarkStart w:id="1214" w:name="Tc_oirnYZx8_EmswNDDX0usiQ_8_2"/>
      <w:bookmarkStart w:id="1215" w:name="Tc_xvZjE34SgE-2jJNZcIIFMA_8_0"/>
      <w:bookmarkStart w:id="1216" w:name="Tc_v18HFfR13Eerk9SD-8F79g_7_0"/>
      <w:bookmarkStart w:id="1217" w:name="Tc_fL_x-lKbmkGNhltd_O8uEA_6_0"/>
      <w:bookmarkStart w:id="1218" w:name="Tc_cjVQTyn3E0uVsRPfFn1-ew_5_17"/>
      <w:bookmarkStart w:id="1219" w:name="Tc_jyUjUWz_F06MjNEkyPql-A_5_14"/>
      <w:bookmarkStart w:id="1220" w:name="Tc_tA8nzdmiT0aq9DzJ7r_uuA_5_11"/>
      <w:bookmarkStart w:id="1221" w:name="Tc_KFyXA0Yw1UaGk0wv2yqAWQ_5_8"/>
      <w:bookmarkStart w:id="1222" w:name="Tc_VxJVszJ67ESgptsqKX0_og_5_5"/>
      <w:bookmarkStart w:id="1223" w:name="Tc_4SgV_U-CY0iOmUQ_Mb2K0g_5_2"/>
      <w:bookmarkStart w:id="1224" w:name="Tc_I6u-p6S2T0eqWk0KnKiUHQ_5_0"/>
      <w:bookmarkStart w:id="1225" w:name="Tc_suYlABPklkGmn1qF-1VHcA_4_17"/>
      <w:bookmarkStart w:id="1226" w:name="Tc_Ywn0-iIU00ue-5lKBiOHeQ_4_14"/>
      <w:bookmarkStart w:id="1227" w:name="Tc_DLHSiata-UqU6hD7v85n8w_4_11"/>
      <w:bookmarkStart w:id="1228" w:name="Tc_XCPTjGSibEyVzevXMYhGbg_4_8"/>
      <w:bookmarkStart w:id="1229" w:name="Tc_26m9HOu-TEChphUBfTdYzQ_4_5"/>
      <w:bookmarkStart w:id="1230" w:name="Tc_vNPVHiAQWEyC5F_-UBKgrQ_4_2"/>
      <w:bookmarkStart w:id="1231" w:name="Tc_5eX_mXYAVUGsHAcPpsUpFw_3_17"/>
      <w:bookmarkStart w:id="1232" w:name="Tc_lnUkzTsP_E2pEpJ3T7yi1A_3_14"/>
      <w:bookmarkStart w:id="1233" w:name="Tc_o7G3xSyVdUaR8rawnzNopA_3_8"/>
      <w:bookmarkStart w:id="1234" w:name="Tc_XnKbbdGdbE-e2D1AgemOAg_3_5"/>
      <w:bookmarkStart w:id="1235" w:name="Tc_ByYV8g9YWk-l40WYH8e2KA_2_17"/>
      <w:bookmarkStart w:id="1236" w:name="Tc_QsfJ7MHrv0SZIG3pbKXNWg_2_14"/>
      <w:bookmarkStart w:id="1237" w:name="Tc_60XGhdVoUkay8vYjHcWjNA_2_8"/>
      <w:bookmarkStart w:id="1238" w:name="Tc_tCJVIwFlxUmyjf2aK4peyA_2_5"/>
      <w:bookmarkStart w:id="1239" w:name="Tc__b_1uCG6KE-BeTk1o5fjaw_1_17"/>
      <w:bookmarkStart w:id="1240" w:name="Tc_lEuRI6oGr0isTXyHmQ-nYQ_1_14"/>
      <w:bookmarkStart w:id="1241" w:name="_70f6e449_0dc7_44d2_a9a5_90f16c5af2d1"/>
      <w:bookmarkStart w:id="1242" w:name="Tc_yG-hijLYeEyKdr7XY4pVsA_18_17"/>
      <w:bookmarkStart w:id="1243" w:name="Tc_HBICj1s9ekOFhFzG1Aty7w_18_14"/>
      <w:bookmarkStart w:id="1244" w:name="Tc_9kLB1n3Myk-jNc1GMEvTEw_18_11"/>
      <w:bookmarkStart w:id="1245" w:name="Tc_ei-uveYZekqnwV1HjsvIww_18_8"/>
      <w:bookmarkStart w:id="1246" w:name="Tc_A9_xs_OCJkSWygX3Zrq6sA_18_5"/>
      <w:bookmarkStart w:id="1247" w:name="Tc_hkusMHdtN0SlqJBfXYm9oQ_18_2"/>
      <w:bookmarkStart w:id="1248" w:name="Tc_D6_ZXhCglEOH1utVgWzSdg_18_0"/>
      <w:bookmarkStart w:id="1249" w:name="Tc_E-3PRS0BOU2F5JbUWPdt0Q_17_0"/>
      <w:bookmarkStart w:id="1250" w:name="Tc_Hj-JZfysW0CS9O7b3fWM1Q_16_0"/>
      <w:bookmarkStart w:id="1251" w:name="Tc__FqxD18-e0KsYzj3--Goag_15_0"/>
      <w:bookmarkStart w:id="1252" w:name="Tc_jZWTsL81zk6NsIxRo_WbxA_14_0"/>
      <w:bookmarkStart w:id="1253" w:name="Tc_ww2RXhyS4U2n_XE6hWq3Ow_13_0"/>
      <w:bookmarkStart w:id="1254" w:name="Tc_AcHced-W60-O2MZz4BJusA_12_0"/>
      <w:bookmarkStart w:id="1255" w:name="Tc_rksAxLZxY0-VwJeNHBTGxg_11_0"/>
      <w:bookmarkStart w:id="1256" w:name="Tc_FcxJZHByCkain4s6QLZAXA_10_0"/>
      <w:bookmarkStart w:id="1257" w:name="Tc_5kHaTqdjSUyIQl3awZdVMg_9_0"/>
      <w:bookmarkStart w:id="1258" w:name="Tc_YmgcKnxVmEGxKDJXQaSRxQ_8_17"/>
      <w:bookmarkStart w:id="1259" w:name="Tc_kZ7fT9NVmkaLnLlNwdY9xw_8_14"/>
      <w:bookmarkStart w:id="1260" w:name="Tc_nho68aQ88kGzle2LR6aqig_8_11"/>
      <w:bookmarkStart w:id="1261" w:name="Tc_7TKZrULfi0uOrHg1wfvBXQ_8_8"/>
      <w:bookmarkStart w:id="1262" w:name="Tc_Wvz2csWaZES5NQu-V677CQ_8_5"/>
      <w:bookmarkStart w:id="1263" w:name="Tc_VilauDUU70mHksZwutdxGw_8_2"/>
      <w:bookmarkStart w:id="1264" w:name="Tc_Mxae5qz9kUm_aX0lz7ilxw_8_0"/>
      <w:bookmarkStart w:id="1265" w:name="Tc_BMq2lFv3CUWujYzXYehLjg_7_0"/>
      <w:bookmarkStart w:id="1266" w:name="Tc_o_7zT0RBpEeTfE04HcpSQw_6_0"/>
      <w:bookmarkStart w:id="1267" w:name="Tc_VM9vp_kve0mxa5RJwRyScQ_5_17"/>
      <w:bookmarkStart w:id="1268" w:name="Tc_P6RlzBx6eEGUTqlXLxDCRQ_5_14"/>
      <w:bookmarkStart w:id="1269" w:name="Tc_3V0Ara6P8EeacCYwAyNPag_5_11"/>
      <w:bookmarkStart w:id="1270" w:name="Tc_4S5FYUJYQ0i0MGYqygjrSw_5_8"/>
      <w:bookmarkStart w:id="1271" w:name="Tc_eWC9BRlCKk-aqNDsLyy1AQ_5_5"/>
      <w:bookmarkStart w:id="1272" w:name="Tc_Ig-_4PRU206DMew94g5e4A_5_2"/>
      <w:bookmarkStart w:id="1273" w:name="Tc_Yd3QauwpikCXkhwcpyEEJQ_5_0"/>
      <w:bookmarkStart w:id="1274" w:name="Tc_pA2HOFfyq0uYO1PcgcbwmA_4_17"/>
      <w:bookmarkStart w:id="1275" w:name="Tc_lEWUjslY7kSfazuZb5O7-Q_4_14"/>
      <w:bookmarkStart w:id="1276" w:name="Tc_qp5XdC7MnUeWoaVtncC7Eg_4_11"/>
      <w:bookmarkStart w:id="1277" w:name="Tc_sGEJitYEJE6kD4NMxpdzIQ_4_8"/>
      <w:bookmarkStart w:id="1278" w:name="Tc_9gl8bSo2B0WmCbjTg0RMMA_4_5"/>
      <w:bookmarkStart w:id="1279" w:name="Tc_O55WbBI74EuaEEIOjv5AUQ_4_2"/>
      <w:bookmarkStart w:id="1280" w:name="Tc_XOJqrtgE1UmVMmOhOn-JIQ_3_17"/>
      <w:bookmarkStart w:id="1281" w:name="Tc_F43zoqL5aUOrtdn_U11BaQ_3_14"/>
      <w:bookmarkStart w:id="1282" w:name="Tc_8uRzrAq4AUyiYxMqYyhe7A_3_8"/>
      <w:bookmarkStart w:id="1283" w:name="Tc_u2puzPBfTE2NuRHI9huTog_3_5"/>
      <w:bookmarkStart w:id="1284" w:name="Tc_nXq_lSVxUUmkoTXCEOMDug_2_17"/>
      <w:bookmarkStart w:id="1285" w:name="Tc_leZrq7leq0Weq-OW8hkU3w_2_14"/>
      <w:bookmarkStart w:id="1286" w:name="Tc_WUr68ajtM02-bSzzLw0dGQ_2_8"/>
      <w:bookmarkStart w:id="1287" w:name="Tc_fLZ3Eh9rVU2Zt6NkZ-HOtQ_2_5"/>
      <w:bookmarkStart w:id="1288" w:name="Tc_d2pDPxenGkqo2y8NPJHOJQ_1_17"/>
      <w:bookmarkStart w:id="1289" w:name="Tc_w4yNugMYj0SNfXQ4PBFDxQ_1_14"/>
      <w:bookmarkStart w:id="1290" w:name="_026d188c_8915_4d0d_b5c1_d150c615332f"/>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p>
    <w:tbl>
      <w:tblPr>
        <w:tblW w:w="1757" w:type="dxa"/>
        <w:jc w:val="left"/>
        <w:tblInd w:w="0" w:type="dxa"/>
        <w:tblLayout w:type="fixed"/>
        <w:tblCellMar>
          <w:top w:w="0" w:type="dxa"/>
          <w:left w:w="0" w:type="dxa"/>
          <w:bottom w:w="0" w:type="dxa"/>
          <w:right w:w="0" w:type="dxa"/>
        </w:tblCellMar>
      </w:tblPr>
      <w:tblGrid>
        <w:gridCol w:w="271"/>
        <w:gridCol w:w="1486"/>
      </w:tblGrid>
      <w:tr>
        <w:trPr/>
        <w:tc>
          <w:tcPr>
            <w:tcW w:w="27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48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INVESTMENTS</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summarizes the Company’s investments at:</w:t>
      </w:r>
    </w:p>
    <w:p>
      <w:pPr>
        <w:pStyle w:val="TextBody"/>
        <w:bidi w:val="0"/>
        <w:spacing w:before="0" w:after="0"/>
        <w:ind w:left="0" w:right="0" w:firstLine="720"/>
        <w:jc w:val="both"/>
        <w:rPr/>
      </w:pPr>
      <w:r>
        <w:rPr/>
        <w:t>​</w:t>
      </w:r>
    </w:p>
    <w:tbl>
      <w:tblPr>
        <w:tblW w:w="10440" w:type="dxa"/>
        <w:jc w:val="left"/>
        <w:tblInd w:w="0" w:type="dxa"/>
        <w:tblLayout w:type="fixed"/>
        <w:tblCellMar>
          <w:top w:w="0" w:type="dxa"/>
          <w:left w:w="0" w:type="dxa"/>
          <w:bottom w:w="0" w:type="dxa"/>
          <w:right w:w="0" w:type="dxa"/>
        </w:tblCellMar>
      </w:tblPr>
      <w:tblGrid>
        <w:gridCol w:w="1651"/>
        <w:gridCol w:w="326"/>
        <w:gridCol w:w="211"/>
        <w:gridCol w:w="931"/>
        <w:gridCol w:w="326"/>
        <w:gridCol w:w="375"/>
        <w:gridCol w:w="616"/>
        <w:gridCol w:w="326"/>
        <w:gridCol w:w="267"/>
        <w:gridCol w:w="724"/>
        <w:gridCol w:w="326"/>
        <w:gridCol w:w="211"/>
        <w:gridCol w:w="931"/>
        <w:gridCol w:w="326"/>
        <w:gridCol w:w="323"/>
        <w:gridCol w:w="878"/>
        <w:gridCol w:w="326"/>
        <w:gridCol w:w="435"/>
        <w:gridCol w:w="931"/>
      </w:tblGrid>
      <w:tr>
        <w:trPr/>
        <w:tc>
          <w:tcPr>
            <w:tcW w:w="16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07010" cy="175260"/>
                      <wp:effectExtent l="0" t="0" r="0" b="0"/>
                      <wp:wrapNone/>
                      <wp:docPr id="162" name="Frame1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33985" cy="175260"/>
                      <wp:effectExtent l="0" t="0" r="0" b="0"/>
                      <wp:wrapNone/>
                      <wp:docPr id="163" name="Frame1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591185" cy="175260"/>
                      <wp:effectExtent l="0" t="0" r="0" b="0"/>
                      <wp:wrapNone/>
                      <wp:docPr id="164" name="Frame16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7010" cy="175260"/>
                      <wp:effectExtent l="0" t="0" r="0" b="0"/>
                      <wp:wrapNone/>
                      <wp:docPr id="165" name="Frame1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38125" cy="175260"/>
                      <wp:effectExtent l="0" t="0" r="0" b="0"/>
                      <wp:wrapNone/>
                      <wp:docPr id="166" name="Frame166"/>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391160" cy="175260"/>
                      <wp:effectExtent l="0" t="0" r="0" b="0"/>
                      <wp:wrapNone/>
                      <wp:docPr id="167" name="Frame167"/>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7010" cy="175260"/>
                      <wp:effectExtent l="0" t="0" r="0" b="0"/>
                      <wp:wrapNone/>
                      <wp:docPr id="168" name="Frame1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69545" cy="175260"/>
                      <wp:effectExtent l="0" t="0" r="0" b="0"/>
                      <wp:wrapNone/>
                      <wp:docPr id="169" name="Frame169"/>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459740" cy="175260"/>
                      <wp:effectExtent l="0" t="0" r="0" b="0"/>
                      <wp:wrapNone/>
                      <wp:docPr id="170" name="Frame170"/>
                      <a:graphic xmlns:a="http://schemas.openxmlformats.org/drawingml/2006/main">
                        <a:graphicData uri="http://schemas.microsoft.com/office/word/2010/wordprocessingShape">
                          <wps:wsp>
                            <wps:cNvSpPr txBox="1"/>
                            <wps:spPr>
                              <a:xfrm>
                                <a:off x="0" y="0"/>
                                <a:ext cx="459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07010" cy="175260"/>
                      <wp:effectExtent l="0" t="0" r="0" b="0"/>
                      <wp:wrapNone/>
                      <wp:docPr id="171" name="Frame1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33985" cy="175260"/>
                      <wp:effectExtent l="0" t="0" r="0" b="0"/>
                      <wp:wrapNone/>
                      <wp:docPr id="172" name="Frame1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591185" cy="175260"/>
                      <wp:effectExtent l="0" t="0" r="0" b="0"/>
                      <wp:wrapNone/>
                      <wp:docPr id="173" name="Frame17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07010" cy="175260"/>
                      <wp:effectExtent l="0" t="0" r="0" b="0"/>
                      <wp:wrapNone/>
                      <wp:docPr id="174" name="Frame1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05105" cy="175260"/>
                      <wp:effectExtent l="0" t="0" r="0" b="0"/>
                      <wp:wrapNone/>
                      <wp:docPr id="175" name="Frame175"/>
                      <a:graphic xmlns:a="http://schemas.openxmlformats.org/drawingml/2006/main">
                        <a:graphicData uri="http://schemas.microsoft.com/office/word/2010/wordprocessingShape">
                          <wps:wsp>
                            <wps:cNvSpPr txBox="1"/>
                            <wps:spPr>
                              <a:xfrm>
                                <a:off x="0" y="0"/>
                                <a:ext cx="205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557530" cy="175260"/>
                      <wp:effectExtent l="0" t="0" r="0" b="0"/>
                      <wp:wrapNone/>
                      <wp:docPr id="176" name="Frame176"/>
                      <a:graphic xmlns:a="http://schemas.openxmlformats.org/drawingml/2006/main">
                        <a:graphicData uri="http://schemas.microsoft.com/office/word/2010/wordprocessingShape">
                          <wps:wsp>
                            <wps:cNvSpPr txBox="1"/>
                            <wps:spPr>
                              <a:xfrm>
                                <a:off x="0" y="0"/>
                                <a:ext cx="557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07010" cy="175260"/>
                      <wp:effectExtent l="0" t="0" r="0" b="0"/>
                      <wp:wrapNone/>
                      <wp:docPr id="177" name="Frame1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76225" cy="175260"/>
                      <wp:effectExtent l="0" t="0" r="0" b="0"/>
                      <wp:wrapNone/>
                      <wp:docPr id="178" name="Frame178"/>
                      <a:graphic xmlns:a="http://schemas.openxmlformats.org/drawingml/2006/main">
                        <a:graphicData uri="http://schemas.microsoft.com/office/word/2010/wordprocessingShape">
                          <wps:wsp>
                            <wps:cNvSpPr txBox="1"/>
                            <wps:spPr>
                              <a:xfrm>
                                <a:off x="0" y="0"/>
                                <a:ext cx="276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591185" cy="175260"/>
                      <wp:effectExtent l="0" t="0" r="0" b="0"/>
                      <wp:wrapNone/>
                      <wp:docPr id="179" name="Frame17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72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Continuous</w:t>
            </w:r>
          </w:p>
        </w:tc>
        <w:tc>
          <w:tcPr>
            <w:tcW w:w="326" w:type="dxa"/>
            <w:tcBorders/>
            <w:vAlign w:val="center"/>
          </w:tcPr>
          <w:p>
            <w:pPr>
              <w:pStyle w:val="TableContents"/>
              <w:bidi w:val="0"/>
              <w:spacing w:before="0" w:after="0"/>
              <w:ind w:left="0" w:right="0" w:hanging="0"/>
              <w:jc w:val="left"/>
              <w:rPr/>
            </w:pPr>
            <w:r>
              <w:rPr/>
              <w:t>​</w:t>
            </w:r>
          </w:p>
        </w:tc>
        <w:tc>
          <w:tcPr>
            <w:tcW w:w="13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Continuous</w:t>
            </w:r>
          </w:p>
        </w:tc>
      </w:tr>
      <w:tr>
        <w:trPr/>
        <w:tc>
          <w:tcPr>
            <w:tcW w:w="16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Gross</w:t>
            </w:r>
          </w:p>
        </w:tc>
        <w:tc>
          <w:tcPr>
            <w:tcW w:w="32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Gross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c>
          <w:tcPr>
            <w:tcW w:w="326" w:type="dxa"/>
            <w:tcBorders/>
            <w:vAlign w:val="center"/>
          </w:tcPr>
          <w:p>
            <w:pPr>
              <w:pStyle w:val="TableContents"/>
              <w:bidi w:val="0"/>
              <w:spacing w:before="0" w:after="0"/>
              <w:ind w:left="0" w:right="0" w:hanging="0"/>
              <w:jc w:val="left"/>
              <w:rPr/>
            </w:pPr>
            <w:r>
              <w:rPr/>
              <w:t>​</w:t>
            </w:r>
          </w:p>
        </w:tc>
        <w:tc>
          <w:tcPr>
            <w:tcW w:w="13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r>
      <w:tr>
        <w:trPr/>
        <w:tc>
          <w:tcPr>
            <w:tcW w:w="16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c>
          <w:tcPr>
            <w:tcW w:w="32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Loss Position</w:t>
            </w:r>
          </w:p>
        </w:tc>
        <w:tc>
          <w:tcPr>
            <w:tcW w:w="326" w:type="dxa"/>
            <w:tcBorders/>
            <w:vAlign w:val="center"/>
          </w:tcPr>
          <w:p>
            <w:pPr>
              <w:pStyle w:val="TableContents"/>
              <w:bidi w:val="0"/>
              <w:spacing w:before="0" w:after="0"/>
              <w:ind w:left="0" w:right="0" w:hanging="0"/>
              <w:jc w:val="left"/>
              <w:rPr/>
            </w:pPr>
            <w:r>
              <w:rPr/>
              <w:t>​</w:t>
            </w:r>
          </w:p>
        </w:tc>
        <w:tc>
          <w:tcPr>
            <w:tcW w:w="13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Loss Position</w:t>
            </w:r>
          </w:p>
        </w:tc>
      </w:tr>
      <w:tr>
        <w:trPr/>
        <w:tc>
          <w:tcPr>
            <w:tcW w:w="16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Amortized</w:t>
            </w:r>
          </w:p>
        </w:tc>
        <w:tc>
          <w:tcPr>
            <w:tcW w:w="32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Holding</w:t>
            </w:r>
          </w:p>
        </w:tc>
        <w:tc>
          <w:tcPr>
            <w:tcW w:w="32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Holding</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Fair</w:t>
            </w:r>
          </w:p>
        </w:tc>
        <w:tc>
          <w:tcPr>
            <w:tcW w:w="326" w:type="dxa"/>
            <w:tcBorders/>
            <w:vAlign w:val="center"/>
          </w:tcPr>
          <w:p>
            <w:pPr>
              <w:pStyle w:val="TableContents"/>
              <w:bidi w:val="0"/>
              <w:spacing w:before="0" w:after="0"/>
              <w:ind w:left="0" w:right="0" w:hanging="0"/>
              <w:jc w:val="left"/>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less than 12</w:t>
            </w:r>
          </w:p>
        </w:tc>
        <w:tc>
          <w:tcPr>
            <w:tcW w:w="326" w:type="dxa"/>
            <w:tcBorders/>
            <w:vAlign w:val="center"/>
          </w:tcPr>
          <w:p>
            <w:pPr>
              <w:pStyle w:val="TableContents"/>
              <w:bidi w:val="0"/>
              <w:spacing w:before="0" w:after="0"/>
              <w:ind w:left="0" w:right="0" w:hanging="0"/>
              <w:jc w:val="left"/>
              <w:rPr/>
            </w:pPr>
            <w:r>
              <w:rPr/>
              <w:t>​</w:t>
            </w:r>
          </w:p>
        </w:tc>
        <w:tc>
          <w:tcPr>
            <w:tcW w:w="13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greater than 12</w:t>
            </w:r>
          </w:p>
        </w:tc>
      </w:tr>
      <w:tr>
        <w:trPr/>
        <w:tc>
          <w:tcPr>
            <w:tcW w:w="16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30, 2023</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Cost</w:t>
            </w:r>
          </w:p>
        </w:tc>
        <w:tc>
          <w:tcPr>
            <w:tcW w:w="326" w:type="dxa"/>
            <w:tcBorders/>
            <w:vAlign w:val="center"/>
          </w:tcPr>
          <w:p>
            <w:pPr>
              <w:pStyle w:val="TableContents"/>
              <w:bidi w:val="0"/>
              <w:spacing w:before="0" w:after="0"/>
              <w:ind w:left="0" w:right="0" w:hanging="0"/>
              <w:jc w:val="left"/>
              <w:rPr/>
            </w:pPr>
            <w:r>
              <w:rPr/>
              <w:t>    </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Gains</w:t>
            </w:r>
          </w:p>
        </w:tc>
        <w:tc>
          <w:tcPr>
            <w:tcW w:w="326" w:type="dxa"/>
            <w:tcBorders/>
            <w:vAlign w:val="center"/>
          </w:tcPr>
          <w:p>
            <w:pPr>
              <w:pStyle w:val="TableContents"/>
              <w:bidi w:val="0"/>
              <w:spacing w:before="0" w:after="0"/>
              <w:ind w:left="0" w:right="0" w:hanging="0"/>
              <w:jc w:val="left"/>
              <w:rPr/>
            </w:pPr>
            <w:r>
              <w:rPr/>
              <w:t>    </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Losses</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Value</w:t>
            </w:r>
          </w:p>
        </w:tc>
        <w:tc>
          <w:tcPr>
            <w:tcW w:w="326" w:type="dxa"/>
            <w:tcBorders/>
            <w:vAlign w:val="center"/>
          </w:tcPr>
          <w:p>
            <w:pPr>
              <w:pStyle w:val="TableContents"/>
              <w:bidi w:val="0"/>
              <w:spacing w:before="0" w:after="0"/>
              <w:ind w:left="0" w:right="0" w:hanging="0"/>
              <w:jc w:val="left"/>
              <w:rPr/>
            </w:pPr>
            <w:r>
              <w:rPr/>
              <w:t>    </w:t>
            </w:r>
          </w:p>
        </w:tc>
        <w:tc>
          <w:tcPr>
            <w:tcW w:w="1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Months</w:t>
            </w:r>
          </w:p>
        </w:tc>
        <w:tc>
          <w:tcPr>
            <w:tcW w:w="326" w:type="dxa"/>
            <w:tcBorders/>
            <w:vAlign w:val="center"/>
          </w:tcPr>
          <w:p>
            <w:pPr>
              <w:pStyle w:val="TableContents"/>
              <w:bidi w:val="0"/>
              <w:spacing w:before="0" w:after="0"/>
              <w:ind w:left="0" w:right="0" w:hanging="0"/>
              <w:jc w:val="left"/>
              <w:rPr/>
            </w:pPr>
            <w:r>
              <w:rPr/>
              <w:t>    </w:t>
            </w:r>
          </w:p>
        </w:tc>
        <w:tc>
          <w:tcPr>
            <w:tcW w:w="13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Months</w:t>
            </w:r>
          </w:p>
        </w:tc>
      </w:tr>
      <w:tr>
        <w:trPr/>
        <w:tc>
          <w:tcPr>
            <w:tcW w:w="16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Available-for-sale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72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35"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1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72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35"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1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329,770</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329,768</w:t>
            </w:r>
          </w:p>
        </w:tc>
        <w:tc>
          <w:tcPr>
            <w:tcW w:w="326"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4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1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Certificates of deposit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15,161</w:t>
            </w:r>
          </w:p>
        </w:tc>
        <w:tc>
          <w:tcPr>
            <w:tcW w:w="32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72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15,161</w:t>
            </w:r>
          </w:p>
        </w:tc>
        <w:tc>
          <w:tcPr>
            <w:tcW w:w="326"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35"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1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Municipal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59,158</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7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59,033</w:t>
            </w:r>
          </w:p>
        </w:tc>
        <w:tc>
          <w:tcPr>
            <w:tcW w:w="326"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326" w:type="dxa"/>
            <w:tcBorders/>
            <w:shd w:fill="CCEEFF" w:val="clear"/>
            <w:vAlign w:val="center"/>
          </w:tcPr>
          <w:p>
            <w:pPr>
              <w:pStyle w:val="TableContents"/>
              <w:bidi w:val="0"/>
              <w:spacing w:before="0" w:after="0"/>
              <w:ind w:left="0" w:right="0" w:hanging="0"/>
              <w:jc w:val="left"/>
              <w:rPr/>
            </w:pPr>
            <w:r>
              <w:rPr/>
              <w:t>​</w:t>
            </w:r>
          </w:p>
        </w:tc>
        <w:tc>
          <w:tcPr>
            <w:tcW w:w="435"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1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government agency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152,071</w:t>
            </w:r>
          </w:p>
        </w:tc>
        <w:tc>
          <w:tcPr>
            <w:tcW w:w="32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7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151,582</w:t>
            </w:r>
          </w:p>
        </w:tc>
        <w:tc>
          <w:tcPr>
            <w:tcW w:w="326"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 </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w:t>
            </w:r>
          </w:p>
        </w:tc>
        <w:tc>
          <w:tcPr>
            <w:tcW w:w="326" w:type="dxa"/>
            <w:tcBorders/>
            <w:vAlign w:val="center"/>
          </w:tcPr>
          <w:p>
            <w:pPr>
              <w:pStyle w:val="TableContents"/>
              <w:bidi w:val="0"/>
              <w:spacing w:before="0" w:after="0"/>
              <w:ind w:left="0" w:right="0" w:hanging="0"/>
              <w:jc w:val="left"/>
              <w:rPr/>
            </w:pPr>
            <w:r>
              <w:rPr/>
              <w:t>​</w:t>
            </w:r>
          </w:p>
        </w:tc>
        <w:tc>
          <w:tcPr>
            <w:tcW w:w="435"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r>
      <w:tr>
        <w:trPr/>
        <w:tc>
          <w:tcPr>
            <w:tcW w:w="1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705,370</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 </w:t>
            </w:r>
          </w:p>
        </w:tc>
        <w:tc>
          <w:tcPr>
            <w:tcW w:w="7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703,399</w:t>
            </w:r>
          </w:p>
        </w:tc>
        <w:tc>
          <w:tcPr>
            <w:tcW w:w="326"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 </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2,002</w:t>
            </w:r>
          </w:p>
        </w:tc>
        <w:tc>
          <w:tcPr>
            <w:tcW w:w="326" w:type="dxa"/>
            <w:tcBorders/>
            <w:shd w:fill="CCEEFF" w:val="clear"/>
            <w:vAlign w:val="center"/>
          </w:tcPr>
          <w:p>
            <w:pPr>
              <w:pStyle w:val="TableContents"/>
              <w:bidi w:val="0"/>
              <w:spacing w:before="0" w:after="0"/>
              <w:ind w:left="0" w:right="0" w:hanging="0"/>
              <w:jc w:val="left"/>
              <w:rPr/>
            </w:pPr>
            <w:r>
              <w:rPr/>
              <w:t>​</w:t>
            </w:r>
          </w:p>
        </w:tc>
        <w:tc>
          <w:tcPr>
            <w:tcW w:w="435"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1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158,748</w:t>
            </w:r>
          </w:p>
        </w:tc>
        <w:tc>
          <w:tcPr>
            <w:tcW w:w="32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7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158,296</w:t>
            </w:r>
          </w:p>
        </w:tc>
        <w:tc>
          <w:tcPr>
            <w:tcW w:w="326"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w:t>
            </w:r>
          </w:p>
        </w:tc>
        <w:tc>
          <w:tcPr>
            <w:tcW w:w="326" w:type="dxa"/>
            <w:tcBorders/>
            <w:vAlign w:val="center"/>
          </w:tcPr>
          <w:p>
            <w:pPr>
              <w:pStyle w:val="TableContents"/>
              <w:bidi w:val="0"/>
              <w:spacing w:before="0" w:after="0"/>
              <w:ind w:left="0" w:right="0" w:hanging="0"/>
              <w:jc w:val="left"/>
              <w:rPr/>
            </w:pPr>
            <w:r>
              <w:rPr/>
              <w:t>​</w:t>
            </w:r>
          </w:p>
        </w:tc>
        <w:tc>
          <w:tcPr>
            <w:tcW w:w="435"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1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72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35"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1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government agency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2,580</w:t>
            </w:r>
          </w:p>
        </w:tc>
        <w:tc>
          <w:tcPr>
            <w:tcW w:w="32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7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2,571</w:t>
            </w:r>
          </w:p>
        </w:tc>
        <w:tc>
          <w:tcPr>
            <w:tcW w:w="326"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vAlign w:val="center"/>
          </w:tcPr>
          <w:p>
            <w:pPr>
              <w:pStyle w:val="TableContents"/>
              <w:bidi w:val="0"/>
              <w:spacing w:before="0" w:after="0"/>
              <w:ind w:left="0" w:right="0" w:hanging="0"/>
              <w:jc w:val="left"/>
              <w:rPr/>
            </w:pPr>
            <w:r>
              <w:rPr/>
              <w:t>​</w:t>
            </w:r>
          </w:p>
        </w:tc>
        <w:tc>
          <w:tcPr>
            <w:tcW w:w="435"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1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39,011</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7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38,702</w:t>
            </w:r>
          </w:p>
        </w:tc>
        <w:tc>
          <w:tcPr>
            <w:tcW w:w="326"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w:t>
            </w:r>
          </w:p>
        </w:tc>
        <w:tc>
          <w:tcPr>
            <w:tcW w:w="326" w:type="dxa"/>
            <w:tcBorders/>
            <w:shd w:fill="CCEEFF" w:val="clear"/>
            <w:vAlign w:val="center"/>
          </w:tcPr>
          <w:p>
            <w:pPr>
              <w:pStyle w:val="TableContents"/>
              <w:bidi w:val="0"/>
              <w:spacing w:before="0" w:after="0"/>
              <w:ind w:left="0" w:right="0" w:hanging="0"/>
              <w:jc w:val="left"/>
              <w:rPr/>
            </w:pPr>
            <w:r>
              <w:rPr/>
              <w:t>​</w:t>
            </w:r>
          </w:p>
        </w:tc>
        <w:tc>
          <w:tcPr>
            <w:tcW w:w="435"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1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21,065</w:t>
            </w:r>
          </w:p>
        </w:tc>
        <w:tc>
          <w:tcPr>
            <w:tcW w:w="326" w:type="dxa"/>
            <w:tcBorders/>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20,975</w:t>
            </w:r>
          </w:p>
        </w:tc>
        <w:tc>
          <w:tcPr>
            <w:tcW w:w="326" w:type="dxa"/>
            <w:tcBorders/>
            <w:vAlign w:val="center"/>
          </w:tcPr>
          <w:p>
            <w:pPr>
              <w:pStyle w:val="TableContents"/>
              <w:bidi w:val="0"/>
              <w:spacing w:before="0" w:after="0"/>
              <w:ind w:left="0" w:right="0" w:hanging="0"/>
              <w:jc w:val="left"/>
              <w:rPr/>
            </w:pPr>
            <w:r>
              <w:rPr/>
              <w:t>​</w:t>
            </w:r>
          </w:p>
        </w:tc>
        <w:tc>
          <w:tcPr>
            <w:tcW w:w="3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26" w:type="dxa"/>
            <w:tcBorders/>
            <w:vAlign w:val="center"/>
          </w:tcPr>
          <w:p>
            <w:pPr>
              <w:pStyle w:val="TableContents"/>
              <w:bidi w:val="0"/>
              <w:spacing w:before="0" w:after="0"/>
              <w:ind w:left="0" w:right="0" w:hanging="0"/>
              <w:jc w:val="left"/>
              <w:rPr/>
            </w:pPr>
            <w:r>
              <w:rPr/>
              <w:t>​</w:t>
            </w:r>
          </w:p>
        </w:tc>
        <w:tc>
          <w:tcPr>
            <w:tcW w:w="43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1,482,934</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1,479,487</w:t>
            </w:r>
          </w:p>
        </w:tc>
        <w:tc>
          <w:tcPr>
            <w:tcW w:w="326" w:type="dxa"/>
            <w:tcBorders/>
            <w:shd w:fill="CCEEFF" w:val="clear"/>
            <w:vAlign w:val="center"/>
          </w:tcPr>
          <w:p>
            <w:pPr>
              <w:pStyle w:val="TableContents"/>
              <w:bidi w:val="0"/>
              <w:spacing w:before="0" w:after="0"/>
              <w:ind w:left="0" w:right="0" w:hanging="0"/>
              <w:jc w:val="left"/>
              <w:rPr/>
            </w:pPr>
            <w:r>
              <w:rPr/>
              <w:t>​</w:t>
            </w:r>
          </w:p>
        </w:tc>
        <w:tc>
          <w:tcPr>
            <w:tcW w:w="3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3,488</w:t>
            </w:r>
          </w:p>
        </w:tc>
        <w:tc>
          <w:tcPr>
            <w:tcW w:w="326" w:type="dxa"/>
            <w:tcBorders/>
            <w:shd w:fill="CCEEFF" w:val="clear"/>
            <w:vAlign w:val="center"/>
          </w:tcPr>
          <w:p>
            <w:pPr>
              <w:pStyle w:val="TableContents"/>
              <w:bidi w:val="0"/>
              <w:spacing w:before="0" w:after="0"/>
              <w:ind w:left="0" w:right="0" w:hanging="0"/>
              <w:jc w:val="left"/>
              <w:rPr/>
            </w:pPr>
            <w:r>
              <w:rPr/>
              <w:t>​</w:t>
            </w:r>
          </w:p>
        </w:tc>
        <w:tc>
          <w:tcPr>
            <w:tcW w:w="4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tbl>
      <w:tblPr>
        <w:tblW w:w="10485" w:type="dxa"/>
        <w:jc w:val="left"/>
        <w:tblInd w:w="0" w:type="dxa"/>
        <w:tblLayout w:type="fixed"/>
        <w:tblCellMar>
          <w:top w:w="0" w:type="dxa"/>
          <w:left w:w="0" w:type="dxa"/>
          <w:bottom w:w="0" w:type="dxa"/>
          <w:right w:w="0" w:type="dxa"/>
        </w:tblCellMar>
      </w:tblPr>
      <w:tblGrid>
        <w:gridCol w:w="1696"/>
        <w:gridCol w:w="326"/>
        <w:gridCol w:w="211"/>
        <w:gridCol w:w="931"/>
        <w:gridCol w:w="326"/>
        <w:gridCol w:w="330"/>
        <w:gridCol w:w="661"/>
        <w:gridCol w:w="326"/>
        <w:gridCol w:w="267"/>
        <w:gridCol w:w="724"/>
        <w:gridCol w:w="326"/>
        <w:gridCol w:w="211"/>
        <w:gridCol w:w="931"/>
        <w:gridCol w:w="326"/>
        <w:gridCol w:w="323"/>
        <w:gridCol w:w="878"/>
        <w:gridCol w:w="326"/>
        <w:gridCol w:w="435"/>
        <w:gridCol w:w="931"/>
      </w:tblGrid>
      <w:tr>
        <w:trPr/>
        <w:tc>
          <w:tcPr>
            <w:tcW w:w="1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07010" cy="175260"/>
                      <wp:effectExtent l="0" t="0" r="0" b="0"/>
                      <wp:wrapNone/>
                      <wp:docPr id="180" name="Frame1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33985" cy="175260"/>
                      <wp:effectExtent l="0" t="0" r="0" b="0"/>
                      <wp:wrapNone/>
                      <wp:docPr id="181" name="Frame1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591185" cy="175260"/>
                      <wp:effectExtent l="0" t="0" r="0" b="0"/>
                      <wp:wrapNone/>
                      <wp:docPr id="182" name="Frame18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07010" cy="175260"/>
                      <wp:effectExtent l="0" t="0" r="0" b="0"/>
                      <wp:wrapNone/>
                      <wp:docPr id="183" name="Frame1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09550" cy="175260"/>
                      <wp:effectExtent l="0" t="0" r="0" b="0"/>
                      <wp:wrapNone/>
                      <wp:docPr id="184" name="Frame184"/>
                      <a:graphic xmlns:a="http://schemas.openxmlformats.org/drawingml/2006/main">
                        <a:graphicData uri="http://schemas.microsoft.com/office/word/2010/wordprocessingShape">
                          <wps:wsp>
                            <wps:cNvSpPr txBox="1"/>
                            <wps:spPr>
                              <a:xfrm>
                                <a:off x="0" y="0"/>
                                <a:ext cx="209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419735" cy="175260"/>
                      <wp:effectExtent l="0" t="0" r="0" b="0"/>
                      <wp:wrapNone/>
                      <wp:docPr id="185" name="Frame185"/>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07010" cy="175260"/>
                      <wp:effectExtent l="0" t="0" r="0" b="0"/>
                      <wp:wrapNone/>
                      <wp:docPr id="186" name="Frame1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69545" cy="175260"/>
                      <wp:effectExtent l="0" t="0" r="0" b="0"/>
                      <wp:wrapNone/>
                      <wp:docPr id="187" name="Frame187"/>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459740" cy="175260"/>
                      <wp:effectExtent l="0" t="0" r="0" b="0"/>
                      <wp:wrapNone/>
                      <wp:docPr id="188" name="Frame188"/>
                      <a:graphic xmlns:a="http://schemas.openxmlformats.org/drawingml/2006/main">
                        <a:graphicData uri="http://schemas.microsoft.com/office/word/2010/wordprocessingShape">
                          <wps:wsp>
                            <wps:cNvSpPr txBox="1"/>
                            <wps:spPr>
                              <a:xfrm>
                                <a:off x="0" y="0"/>
                                <a:ext cx="459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07010" cy="175260"/>
                      <wp:effectExtent l="0" t="0" r="0" b="0"/>
                      <wp:wrapNone/>
                      <wp:docPr id="189" name="Frame1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33985" cy="175260"/>
                      <wp:effectExtent l="0" t="0" r="0" b="0"/>
                      <wp:wrapNone/>
                      <wp:docPr id="190" name="Frame1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591185" cy="175260"/>
                      <wp:effectExtent l="0" t="0" r="0" b="0"/>
                      <wp:wrapNone/>
                      <wp:docPr id="191" name="Frame19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7010" cy="175260"/>
                      <wp:effectExtent l="0" t="0" r="0" b="0"/>
                      <wp:wrapNone/>
                      <wp:docPr id="192" name="Frame1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05105" cy="175260"/>
                      <wp:effectExtent l="0" t="0" r="0" b="0"/>
                      <wp:wrapNone/>
                      <wp:docPr id="193" name="Frame193"/>
                      <a:graphic xmlns:a="http://schemas.openxmlformats.org/drawingml/2006/main">
                        <a:graphicData uri="http://schemas.microsoft.com/office/word/2010/wordprocessingShape">
                          <wps:wsp>
                            <wps:cNvSpPr txBox="1"/>
                            <wps:spPr>
                              <a:xfrm>
                                <a:off x="0" y="0"/>
                                <a:ext cx="205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557530" cy="175260"/>
                      <wp:effectExtent l="0" t="0" r="0" b="0"/>
                      <wp:wrapNone/>
                      <wp:docPr id="194" name="Frame194"/>
                      <a:graphic xmlns:a="http://schemas.openxmlformats.org/drawingml/2006/main">
                        <a:graphicData uri="http://schemas.microsoft.com/office/word/2010/wordprocessingShape">
                          <wps:wsp>
                            <wps:cNvSpPr txBox="1"/>
                            <wps:spPr>
                              <a:xfrm>
                                <a:off x="0" y="0"/>
                                <a:ext cx="557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07010" cy="175260"/>
                      <wp:effectExtent l="0" t="0" r="0" b="0"/>
                      <wp:wrapNone/>
                      <wp:docPr id="195" name="Frame1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76225" cy="175260"/>
                      <wp:effectExtent l="0" t="0" r="0" b="0"/>
                      <wp:wrapNone/>
                      <wp:docPr id="196" name="Frame196"/>
                      <a:graphic xmlns:a="http://schemas.openxmlformats.org/drawingml/2006/main">
                        <a:graphicData uri="http://schemas.microsoft.com/office/word/2010/wordprocessingShape">
                          <wps:wsp>
                            <wps:cNvSpPr txBox="1"/>
                            <wps:spPr>
                              <a:xfrm>
                                <a:off x="0" y="0"/>
                                <a:ext cx="276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591185" cy="175260"/>
                      <wp:effectExtent l="0" t="0" r="0" b="0"/>
                      <wp:wrapNone/>
                      <wp:docPr id="197" name="Frame19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30"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72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Continuous</w:t>
            </w:r>
          </w:p>
        </w:tc>
        <w:tc>
          <w:tcPr>
            <w:tcW w:w="326" w:type="dxa"/>
            <w:tcBorders/>
            <w:vAlign w:val="center"/>
          </w:tcPr>
          <w:p>
            <w:pPr>
              <w:pStyle w:val="TableContents"/>
              <w:bidi w:val="0"/>
              <w:spacing w:before="0" w:after="0"/>
              <w:ind w:left="0" w:right="0" w:hanging="0"/>
              <w:jc w:val="left"/>
              <w:rPr/>
            </w:pPr>
            <w:r>
              <w:rPr/>
              <w:t>​</w:t>
            </w:r>
          </w:p>
        </w:tc>
        <w:tc>
          <w:tcPr>
            <w:tcW w:w="13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Continuous</w:t>
            </w:r>
          </w:p>
        </w:tc>
      </w:tr>
      <w:tr>
        <w:trPr/>
        <w:tc>
          <w:tcPr>
            <w:tcW w:w="1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Gross</w:t>
            </w:r>
          </w:p>
        </w:tc>
        <w:tc>
          <w:tcPr>
            <w:tcW w:w="32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Gross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c>
          <w:tcPr>
            <w:tcW w:w="326" w:type="dxa"/>
            <w:tcBorders/>
            <w:vAlign w:val="center"/>
          </w:tcPr>
          <w:p>
            <w:pPr>
              <w:pStyle w:val="TableContents"/>
              <w:bidi w:val="0"/>
              <w:spacing w:before="0" w:after="0"/>
              <w:ind w:left="0" w:right="0" w:hanging="0"/>
              <w:jc w:val="left"/>
              <w:rPr/>
            </w:pPr>
            <w:r>
              <w:rPr/>
              <w:t>​</w:t>
            </w:r>
          </w:p>
        </w:tc>
        <w:tc>
          <w:tcPr>
            <w:tcW w:w="13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r>
      <w:tr>
        <w:trPr/>
        <w:tc>
          <w:tcPr>
            <w:tcW w:w="1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c>
          <w:tcPr>
            <w:tcW w:w="32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Loss Position</w:t>
            </w:r>
          </w:p>
        </w:tc>
        <w:tc>
          <w:tcPr>
            <w:tcW w:w="326" w:type="dxa"/>
            <w:tcBorders/>
            <w:vAlign w:val="center"/>
          </w:tcPr>
          <w:p>
            <w:pPr>
              <w:pStyle w:val="TableContents"/>
              <w:bidi w:val="0"/>
              <w:spacing w:before="0" w:after="0"/>
              <w:ind w:left="0" w:right="0" w:hanging="0"/>
              <w:jc w:val="left"/>
              <w:rPr/>
            </w:pPr>
            <w:r>
              <w:rPr/>
              <w:t>​</w:t>
            </w:r>
          </w:p>
        </w:tc>
        <w:tc>
          <w:tcPr>
            <w:tcW w:w="13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Loss Position</w:t>
            </w:r>
          </w:p>
        </w:tc>
      </w:tr>
      <w:tr>
        <w:trPr/>
        <w:tc>
          <w:tcPr>
            <w:tcW w:w="1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Amortized</w:t>
            </w:r>
          </w:p>
        </w:tc>
        <w:tc>
          <w:tcPr>
            <w:tcW w:w="32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Holding</w:t>
            </w:r>
          </w:p>
        </w:tc>
        <w:tc>
          <w:tcPr>
            <w:tcW w:w="32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Holding</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Fair</w:t>
            </w:r>
          </w:p>
        </w:tc>
        <w:tc>
          <w:tcPr>
            <w:tcW w:w="326" w:type="dxa"/>
            <w:tcBorders/>
            <w:vAlign w:val="center"/>
          </w:tcPr>
          <w:p>
            <w:pPr>
              <w:pStyle w:val="TableContents"/>
              <w:bidi w:val="0"/>
              <w:spacing w:before="0" w:after="0"/>
              <w:ind w:left="0" w:right="0" w:hanging="0"/>
              <w:jc w:val="left"/>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less than 12</w:t>
            </w:r>
          </w:p>
        </w:tc>
        <w:tc>
          <w:tcPr>
            <w:tcW w:w="326" w:type="dxa"/>
            <w:tcBorders/>
            <w:vAlign w:val="center"/>
          </w:tcPr>
          <w:p>
            <w:pPr>
              <w:pStyle w:val="TableContents"/>
              <w:bidi w:val="0"/>
              <w:spacing w:before="0" w:after="0"/>
              <w:ind w:left="0" w:right="0" w:hanging="0"/>
              <w:jc w:val="left"/>
              <w:rPr/>
            </w:pPr>
            <w:r>
              <w:rPr/>
              <w:t>​</w:t>
            </w:r>
          </w:p>
        </w:tc>
        <w:tc>
          <w:tcPr>
            <w:tcW w:w="13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greater than 12</w:t>
            </w:r>
          </w:p>
        </w:tc>
      </w:tr>
      <w:tr>
        <w:trPr/>
        <w:tc>
          <w:tcPr>
            <w:tcW w:w="16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31, 2022</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Cost</w:t>
            </w:r>
          </w:p>
        </w:tc>
        <w:tc>
          <w:tcPr>
            <w:tcW w:w="326" w:type="dxa"/>
            <w:tcBorders/>
            <w:vAlign w:val="center"/>
          </w:tcPr>
          <w:p>
            <w:pPr>
              <w:pStyle w:val="TableContents"/>
              <w:bidi w:val="0"/>
              <w:spacing w:before="0" w:after="0"/>
              <w:ind w:left="0" w:right="0" w:hanging="0"/>
              <w:jc w:val="left"/>
              <w:rPr/>
            </w:pPr>
            <w:r>
              <w:rPr/>
              <w:t>    </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Gains</w:t>
            </w:r>
          </w:p>
        </w:tc>
        <w:tc>
          <w:tcPr>
            <w:tcW w:w="326" w:type="dxa"/>
            <w:tcBorders/>
            <w:vAlign w:val="center"/>
          </w:tcPr>
          <w:p>
            <w:pPr>
              <w:pStyle w:val="TableContents"/>
              <w:bidi w:val="0"/>
              <w:spacing w:before="0" w:after="0"/>
              <w:ind w:left="0" w:right="0" w:hanging="0"/>
              <w:jc w:val="left"/>
              <w:rPr/>
            </w:pPr>
            <w:r>
              <w:rPr/>
              <w:t>    </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Losses</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Value</w:t>
            </w:r>
          </w:p>
        </w:tc>
        <w:tc>
          <w:tcPr>
            <w:tcW w:w="326" w:type="dxa"/>
            <w:tcBorders/>
            <w:vAlign w:val="center"/>
          </w:tcPr>
          <w:p>
            <w:pPr>
              <w:pStyle w:val="TableContents"/>
              <w:bidi w:val="0"/>
              <w:spacing w:before="0" w:after="0"/>
              <w:ind w:left="0" w:right="0" w:hanging="0"/>
              <w:jc w:val="left"/>
              <w:rPr/>
            </w:pPr>
            <w:r>
              <w:rPr/>
              <w:t>    </w:t>
            </w:r>
          </w:p>
        </w:tc>
        <w:tc>
          <w:tcPr>
            <w:tcW w:w="1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Months</w:t>
            </w:r>
          </w:p>
        </w:tc>
        <w:tc>
          <w:tcPr>
            <w:tcW w:w="326" w:type="dxa"/>
            <w:tcBorders/>
            <w:vAlign w:val="center"/>
          </w:tcPr>
          <w:p>
            <w:pPr>
              <w:pStyle w:val="TableContents"/>
              <w:bidi w:val="0"/>
              <w:spacing w:before="0" w:after="0"/>
              <w:ind w:left="0" w:right="0" w:hanging="0"/>
              <w:jc w:val="left"/>
              <w:rPr/>
            </w:pPr>
            <w:r>
              <w:rPr/>
              <w:t>    </w:t>
            </w:r>
          </w:p>
        </w:tc>
        <w:tc>
          <w:tcPr>
            <w:tcW w:w="13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Months</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Available-for-sale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0"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72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35"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0"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72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35"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197,712</w:t>
            </w:r>
          </w:p>
        </w:tc>
        <w:tc>
          <w:tcPr>
            <w:tcW w:w="326" w:type="dxa"/>
            <w:tcBorders/>
            <w:shd w:fill="CCEEFF" w:val="clear"/>
            <w:vAlign w:val="center"/>
          </w:tcPr>
          <w:p>
            <w:pPr>
              <w:pStyle w:val="TableContents"/>
              <w:bidi w:val="0"/>
              <w:spacing w:before="0" w:after="0"/>
              <w:ind w:left="0" w:right="0" w:hanging="0"/>
              <w:jc w:val="left"/>
              <w:rPr/>
            </w:pPr>
            <w:r>
              <w:rPr/>
              <w:t>​</w:t>
            </w:r>
          </w:p>
        </w:tc>
        <w:tc>
          <w:tcPr>
            <w:tcW w:w="3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197,709</w:t>
            </w:r>
          </w:p>
        </w:tc>
        <w:tc>
          <w:tcPr>
            <w:tcW w:w="326"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0"/>
              <w:ind w:left="0" w:right="0" w:hanging="0"/>
              <w:jc w:val="left"/>
              <w:rPr/>
            </w:pPr>
            <w:r>
              <w:rPr/>
              <w:t>​</w:t>
            </w:r>
          </w:p>
        </w:tc>
        <w:tc>
          <w:tcPr>
            <w:tcW w:w="4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Certificates of deposit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10,078</w:t>
            </w:r>
          </w:p>
        </w:tc>
        <w:tc>
          <w:tcPr>
            <w:tcW w:w="326" w:type="dxa"/>
            <w:tcBorders/>
            <w:vAlign w:val="center"/>
          </w:tcPr>
          <w:p>
            <w:pPr>
              <w:pStyle w:val="TableContents"/>
              <w:bidi w:val="0"/>
              <w:spacing w:before="0" w:after="0"/>
              <w:ind w:left="0" w:right="0" w:hanging="0"/>
              <w:jc w:val="left"/>
              <w:rPr/>
            </w:pPr>
            <w:r>
              <w:rPr/>
              <w:t>​</w:t>
            </w:r>
          </w:p>
        </w:tc>
        <w:tc>
          <w:tcPr>
            <w:tcW w:w="330"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72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10,078</w:t>
            </w:r>
          </w:p>
        </w:tc>
        <w:tc>
          <w:tcPr>
            <w:tcW w:w="326"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35"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Municipal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211,791</w:t>
            </w:r>
          </w:p>
        </w:tc>
        <w:tc>
          <w:tcPr>
            <w:tcW w:w="326" w:type="dxa"/>
            <w:tcBorders/>
            <w:shd w:fill="CCEEFF" w:val="clear"/>
            <w:vAlign w:val="center"/>
          </w:tcPr>
          <w:p>
            <w:pPr>
              <w:pStyle w:val="TableContents"/>
              <w:bidi w:val="0"/>
              <w:spacing w:before="0" w:after="0"/>
              <w:ind w:left="0" w:right="0" w:hanging="0"/>
              <w:jc w:val="left"/>
              <w:rPr/>
            </w:pPr>
            <w:r>
              <w:rPr/>
              <w:t>​</w:t>
            </w:r>
          </w:p>
        </w:tc>
        <w:tc>
          <w:tcPr>
            <w:tcW w:w="330"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 </w:t>
            </w:r>
          </w:p>
        </w:tc>
        <w:tc>
          <w:tcPr>
            <w:tcW w:w="7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211,239</w:t>
            </w:r>
          </w:p>
        </w:tc>
        <w:tc>
          <w:tcPr>
            <w:tcW w:w="326"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 </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w:t>
            </w:r>
          </w:p>
        </w:tc>
        <w:tc>
          <w:tcPr>
            <w:tcW w:w="326" w:type="dxa"/>
            <w:tcBorders/>
            <w:shd w:fill="CCEEFF" w:val="clear"/>
            <w:vAlign w:val="center"/>
          </w:tcPr>
          <w:p>
            <w:pPr>
              <w:pStyle w:val="TableContents"/>
              <w:bidi w:val="0"/>
              <w:spacing w:before="0" w:after="0"/>
              <w:ind w:left="0" w:right="0" w:hanging="0"/>
              <w:jc w:val="left"/>
              <w:rPr/>
            </w:pPr>
            <w:r>
              <w:rPr/>
              <w:t>​</w:t>
            </w:r>
          </w:p>
        </w:tc>
        <w:tc>
          <w:tcPr>
            <w:tcW w:w="435"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government agency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109,697</w:t>
            </w:r>
          </w:p>
        </w:tc>
        <w:tc>
          <w:tcPr>
            <w:tcW w:w="326" w:type="dxa"/>
            <w:tcBorders/>
            <w:vAlign w:val="center"/>
          </w:tcPr>
          <w:p>
            <w:pPr>
              <w:pStyle w:val="TableContents"/>
              <w:bidi w:val="0"/>
              <w:spacing w:before="0" w:after="0"/>
              <w:ind w:left="0" w:right="0" w:hanging="0"/>
              <w:jc w:val="left"/>
              <w:rPr/>
            </w:pPr>
            <w:r>
              <w:rPr/>
              <w:t>​</w:t>
            </w:r>
          </w:p>
        </w:tc>
        <w:tc>
          <w:tcPr>
            <w:tcW w:w="330"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7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108,985</w:t>
            </w:r>
          </w:p>
        </w:tc>
        <w:tc>
          <w:tcPr>
            <w:tcW w:w="326"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 </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w:t>
            </w:r>
          </w:p>
        </w:tc>
        <w:tc>
          <w:tcPr>
            <w:tcW w:w="326" w:type="dxa"/>
            <w:tcBorders/>
            <w:vAlign w:val="center"/>
          </w:tcPr>
          <w:p>
            <w:pPr>
              <w:pStyle w:val="TableContents"/>
              <w:bidi w:val="0"/>
              <w:spacing w:before="0" w:after="0"/>
              <w:ind w:left="0" w:right="0" w:hanging="0"/>
              <w:jc w:val="left"/>
              <w:rPr/>
            </w:pPr>
            <w:r>
              <w:rPr/>
              <w:t>​</w:t>
            </w:r>
          </w:p>
        </w:tc>
        <w:tc>
          <w:tcPr>
            <w:tcW w:w="435"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838,825</w:t>
            </w:r>
          </w:p>
        </w:tc>
        <w:tc>
          <w:tcPr>
            <w:tcW w:w="326" w:type="dxa"/>
            <w:tcBorders/>
            <w:shd w:fill="CCEEFF" w:val="clear"/>
            <w:vAlign w:val="center"/>
          </w:tcPr>
          <w:p>
            <w:pPr>
              <w:pStyle w:val="TableContents"/>
              <w:bidi w:val="0"/>
              <w:spacing w:before="0" w:after="0"/>
              <w:ind w:left="0" w:right="0" w:hanging="0"/>
              <w:jc w:val="left"/>
              <w:rPr/>
            </w:pPr>
            <w:r>
              <w:rPr/>
              <w:t>​</w:t>
            </w:r>
          </w:p>
        </w:tc>
        <w:tc>
          <w:tcPr>
            <w:tcW w:w="330"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7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834,303</w:t>
            </w:r>
          </w:p>
        </w:tc>
        <w:tc>
          <w:tcPr>
            <w:tcW w:w="326"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4,539</w:t>
            </w:r>
          </w:p>
        </w:tc>
        <w:tc>
          <w:tcPr>
            <w:tcW w:w="326" w:type="dxa"/>
            <w:tcBorders/>
            <w:shd w:fill="CCEEFF" w:val="clear"/>
            <w:vAlign w:val="center"/>
          </w:tcPr>
          <w:p>
            <w:pPr>
              <w:pStyle w:val="TableContents"/>
              <w:bidi w:val="0"/>
              <w:spacing w:before="0" w:after="0"/>
              <w:ind w:left="0" w:right="0" w:hanging="0"/>
              <w:jc w:val="left"/>
              <w:rPr/>
            </w:pPr>
            <w:r>
              <w:rPr/>
              <w:t>​</w:t>
            </w:r>
          </w:p>
        </w:tc>
        <w:tc>
          <w:tcPr>
            <w:tcW w:w="435"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0"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72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35"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government agency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2,016</w:t>
            </w:r>
          </w:p>
        </w:tc>
        <w:tc>
          <w:tcPr>
            <w:tcW w:w="326" w:type="dxa"/>
            <w:tcBorders/>
            <w:shd w:fill="CCEEFF" w:val="clear"/>
            <w:vAlign w:val="center"/>
          </w:tcPr>
          <w:p>
            <w:pPr>
              <w:pStyle w:val="TableContents"/>
              <w:bidi w:val="0"/>
              <w:spacing w:before="0" w:after="0"/>
              <w:ind w:left="0" w:right="0" w:hanging="0"/>
              <w:jc w:val="left"/>
              <w:rPr/>
            </w:pPr>
            <w:r>
              <w:rPr/>
              <w:t>​</w:t>
            </w:r>
          </w:p>
        </w:tc>
        <w:tc>
          <w:tcPr>
            <w:tcW w:w="330"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7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2,013</w:t>
            </w:r>
          </w:p>
        </w:tc>
        <w:tc>
          <w:tcPr>
            <w:tcW w:w="326"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435"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53,215</w:t>
            </w:r>
          </w:p>
        </w:tc>
        <w:tc>
          <w:tcPr>
            <w:tcW w:w="326" w:type="dxa"/>
            <w:tcBorders/>
            <w:vAlign w:val="center"/>
          </w:tcPr>
          <w:p>
            <w:pPr>
              <w:pStyle w:val="TableContents"/>
              <w:bidi w:val="0"/>
              <w:spacing w:before="0" w:after="0"/>
              <w:ind w:left="0" w:right="0" w:hanging="0"/>
              <w:jc w:val="left"/>
              <w:rPr/>
            </w:pPr>
            <w:r>
              <w:rPr/>
              <w:t>​</w:t>
            </w:r>
          </w:p>
        </w:tc>
        <w:tc>
          <w:tcPr>
            <w:tcW w:w="330"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7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53,164</w:t>
            </w:r>
          </w:p>
        </w:tc>
        <w:tc>
          <w:tcPr>
            <w:tcW w:w="326"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26" w:type="dxa"/>
            <w:tcBorders/>
            <w:vAlign w:val="center"/>
          </w:tcPr>
          <w:p>
            <w:pPr>
              <w:pStyle w:val="TableContents"/>
              <w:bidi w:val="0"/>
              <w:spacing w:before="0" w:after="0"/>
              <w:ind w:left="0" w:right="0" w:hanging="0"/>
              <w:jc w:val="left"/>
              <w:rPr/>
            </w:pPr>
            <w:r>
              <w:rPr/>
              <w:t>​</w:t>
            </w:r>
          </w:p>
        </w:tc>
        <w:tc>
          <w:tcPr>
            <w:tcW w:w="435"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rate demand notes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6,266</w:t>
            </w:r>
          </w:p>
        </w:tc>
        <w:tc>
          <w:tcPr>
            <w:tcW w:w="326" w:type="dxa"/>
            <w:tcBorders/>
            <w:shd w:fill="CCEEFF" w:val="clear"/>
            <w:vAlign w:val="center"/>
          </w:tcPr>
          <w:p>
            <w:pPr>
              <w:pStyle w:val="TableContents"/>
              <w:bidi w:val="0"/>
              <w:spacing w:before="0" w:after="0"/>
              <w:ind w:left="0" w:right="0" w:hanging="0"/>
              <w:jc w:val="left"/>
              <w:rPr/>
            </w:pPr>
            <w:r>
              <w:rPr/>
              <w:t>​</w:t>
            </w:r>
          </w:p>
        </w:tc>
        <w:tc>
          <w:tcPr>
            <w:tcW w:w="3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6,266</w:t>
            </w:r>
          </w:p>
        </w:tc>
        <w:tc>
          <w:tcPr>
            <w:tcW w:w="326" w:type="dxa"/>
            <w:tcBorders/>
            <w:shd w:fill="CCEEFF" w:val="clear"/>
            <w:vAlign w:val="center"/>
          </w:tcPr>
          <w:p>
            <w:pPr>
              <w:pStyle w:val="TableContents"/>
              <w:bidi w:val="0"/>
              <w:spacing w:before="0" w:after="0"/>
              <w:ind w:left="0" w:right="0" w:hanging="0"/>
              <w:jc w:val="left"/>
              <w:rPr/>
            </w:pPr>
            <w:r>
              <w:rPr/>
              <w:t>​</w:t>
            </w:r>
          </w:p>
        </w:tc>
        <w:tc>
          <w:tcPr>
            <w:tcW w:w="3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1,429,600</w:t>
            </w:r>
          </w:p>
        </w:tc>
        <w:tc>
          <w:tcPr>
            <w:tcW w:w="326" w:type="dxa"/>
            <w:tcBorders/>
            <w:vAlign w:val="center"/>
          </w:tcPr>
          <w:p>
            <w:pPr>
              <w:pStyle w:val="TableContents"/>
              <w:bidi w:val="0"/>
              <w:spacing w:before="0" w:after="0"/>
              <w:ind w:left="0" w:right="0" w:hanging="0"/>
              <w:jc w:val="left"/>
              <w:rPr/>
            </w:pPr>
            <w:r>
              <w:rPr/>
              <w:t>​</w:t>
            </w:r>
          </w:p>
        </w:tc>
        <w:tc>
          <w:tcPr>
            <w:tcW w:w="3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26" w:type="dxa"/>
            <w:tcBorders/>
            <w:vAlign w:val="center"/>
          </w:tcPr>
          <w:p>
            <w:pPr>
              <w:pStyle w:val="TableContents"/>
              <w:bidi w:val="0"/>
              <w:spacing w:before="0" w:after="0"/>
              <w:ind w:left="0" w:right="0" w:hanging="0"/>
              <w:jc w:val="left"/>
              <w:rPr/>
            </w:pPr>
            <w:r>
              <w:rPr/>
              <w:t>​</w:t>
            </w:r>
          </w:p>
        </w:tc>
        <w:tc>
          <w:tcPr>
            <w:tcW w:w="26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1,423,757</w:t>
            </w:r>
          </w:p>
        </w:tc>
        <w:tc>
          <w:tcPr>
            <w:tcW w:w="326" w:type="dxa"/>
            <w:tcBorders/>
            <w:vAlign w:val="center"/>
          </w:tcPr>
          <w:p>
            <w:pPr>
              <w:pStyle w:val="TableContents"/>
              <w:bidi w:val="0"/>
              <w:spacing w:before="0" w:after="0"/>
              <w:ind w:left="0" w:right="0" w:hanging="0"/>
              <w:jc w:val="left"/>
              <w:rPr/>
            </w:pPr>
            <w:r>
              <w:rPr/>
              <w:t>​</w:t>
            </w:r>
          </w:p>
        </w:tc>
        <w:tc>
          <w:tcPr>
            <w:tcW w:w="32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5,944</w:t>
            </w:r>
          </w:p>
        </w:tc>
        <w:tc>
          <w:tcPr>
            <w:tcW w:w="326" w:type="dxa"/>
            <w:tcBorders/>
            <w:vAlign w:val="center"/>
          </w:tcPr>
          <w:p>
            <w:pPr>
              <w:pStyle w:val="TableContents"/>
              <w:bidi w:val="0"/>
              <w:spacing w:before="0" w:after="0"/>
              <w:ind w:left="0" w:right="0" w:hanging="0"/>
              <w:jc w:val="left"/>
              <w:rPr/>
            </w:pPr>
            <w:r>
              <w:rPr/>
              <w:t>​</w:t>
            </w:r>
          </w:p>
        </w:tc>
        <w:tc>
          <w:tcPr>
            <w:tcW w:w="4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the three- and six-months ended June 30, 2023 and 2022, realized gains or losses recognized on the sale of investments were not significant.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Company’s investments at June 30, 2023 and December 31, 2022 carried investment grade credit ratings.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bookmarkStart w:id="1291" w:name="Tc_WMzWOqdPH0ysFbI9vIXYCg_17_11"/>
      <w:bookmarkStart w:id="1292" w:name="Tc_MGs2MCLEgk2U_uZFqePyHQ_17_8"/>
      <w:bookmarkStart w:id="1293" w:name="Tc_Fkj8GKTEPk-rbPiAYfaZvQ_17_5"/>
      <w:bookmarkStart w:id="1294" w:name="Tc_KNpj2r7F7UKpLe8yI7FOYA_17_2"/>
      <w:bookmarkStart w:id="1295" w:name="Tc_sEni0kKtB0ayqbyenV9ZSw_17_0"/>
      <w:bookmarkStart w:id="1296" w:name="Tc_M9xMhEQaXEuobnls6DetUQ_16_0"/>
      <w:bookmarkStart w:id="1297" w:name="Tc_9YBRr-CXikWAwzFayYW8Jg_15_0"/>
      <w:bookmarkStart w:id="1298" w:name="Tc_DKt582Yt80228IhlVLLmmw_14_0"/>
      <w:bookmarkStart w:id="1299" w:name="Tc_XMVfueJjFEK6CR4Y_9SREQ_13_0"/>
      <w:bookmarkStart w:id="1300" w:name="Tc_hUW1LAVMkEybp6klRKaRxw_12_0"/>
      <w:bookmarkStart w:id="1301" w:name="Tc_4x2e8-bczESOcoyPPBHw4Q_11_0"/>
      <w:bookmarkStart w:id="1302" w:name="Tc_nrMz2tH_0UOajhe3nVxhJQ_10_0"/>
      <w:bookmarkStart w:id="1303" w:name="Tc_nT48-VTiMkqcWCHtg7yDqQ_9_0"/>
      <w:bookmarkStart w:id="1304" w:name="Tc_yT3cY1AIsk65aHZeAKq1xQ_8_0"/>
      <w:bookmarkStart w:id="1305" w:name="Tc_91WeSpj-7kebbjcOftO10g_7_0"/>
      <w:bookmarkStart w:id="1306" w:name="Tc_kqliMFnrj0KzSG1OqOnMnQ_6_0"/>
      <w:bookmarkStart w:id="1307" w:name="Tc_jk6Z7TLQDUa8XXn2O-9ETQ_5_0"/>
      <w:bookmarkStart w:id="1308" w:name="Tc_tB77vdAe_keW-44dhUEu5w_4_11"/>
      <w:bookmarkStart w:id="1309" w:name="Tc_wq7XRIe0f0Ca0zhZ71o8dA_4_8"/>
      <w:bookmarkStart w:id="1310" w:name="Tc_Vx5pq3YK2Ue2zSHIPuuoOw_4_5"/>
      <w:bookmarkStart w:id="1311" w:name="Tc_HB30G0AmxUOING1pwyoPfg_4_2"/>
      <w:bookmarkStart w:id="1312" w:name="Tc_D-IdRBTiNEi-5ykgAj3ZyQ_4_0"/>
      <w:bookmarkStart w:id="1313" w:name="Tc_sdAJVCrjXEeE5o--w9D6Ww_3_0"/>
      <w:bookmarkStart w:id="1314" w:name="Tc_zClI35ey6USji6Y7XryVkg_2_11"/>
      <w:bookmarkStart w:id="1315" w:name="Tc_4d1DBM2eYkKNntEQiYcl8w_2_8"/>
      <w:bookmarkStart w:id="1316" w:name="Tc_DAcKSiCYqkyp5xqhuLoc9A_2_5"/>
      <w:bookmarkStart w:id="1317" w:name="Tc_ebZhTCq8g0S9FHAGCIncSA_2_2"/>
      <w:bookmarkStart w:id="1318" w:name="Tc_VIT5azwbGkm_l4FxAQT-dw_1_8"/>
      <w:bookmarkStart w:id="1319" w:name="Tc_-odGbRpMBUmXXiK_OKqC2w_1_2"/>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r>
        <w:rPr>
          <w:rFonts w:ascii="Times New Roman;Times;serif" w:hAnsi="Times New Roman;Times;serif"/>
          <w:sz w:val="20"/>
        </w:rPr>
        <w:t>The following table summarizes the underlying contractual maturities of the Company’s investments at:</w:t>
      </w:r>
    </w:p>
    <w:p>
      <w:pPr>
        <w:pStyle w:val="TextBody"/>
        <w:bidi w:val="0"/>
        <w:spacing w:before="0" w:after="0"/>
        <w:ind w:left="0" w:right="0" w:firstLine="720"/>
        <w:jc w:val="both"/>
        <w:rPr/>
      </w:pPr>
      <w:r>
        <w:rPr/>
        <w:t>​</w:t>
      </w:r>
    </w:p>
    <w:tbl>
      <w:tblPr>
        <w:tblW w:w="9366" w:type="dxa"/>
        <w:jc w:val="left"/>
        <w:tblInd w:w="0" w:type="dxa"/>
        <w:tblLayout w:type="fixed"/>
        <w:tblCellMar>
          <w:top w:w="0" w:type="dxa"/>
          <w:left w:w="0" w:type="dxa"/>
          <w:bottom w:w="0" w:type="dxa"/>
          <w:right w:w="0" w:type="dxa"/>
        </w:tblCellMar>
      </w:tblPr>
      <w:tblGrid>
        <w:gridCol w:w="2911"/>
        <w:gridCol w:w="326"/>
        <w:gridCol w:w="255"/>
        <w:gridCol w:w="1126"/>
        <w:gridCol w:w="326"/>
        <w:gridCol w:w="211"/>
        <w:gridCol w:w="931"/>
        <w:gridCol w:w="326"/>
        <w:gridCol w:w="255"/>
        <w:gridCol w:w="1126"/>
        <w:gridCol w:w="326"/>
        <w:gridCol w:w="211"/>
        <w:gridCol w:w="1036"/>
      </w:tblGrid>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07010" cy="175260"/>
                      <wp:effectExtent l="0" t="0" r="0" b="0"/>
                      <wp:wrapNone/>
                      <wp:docPr id="198" name="Frame1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61925" cy="175260"/>
                      <wp:effectExtent l="0" t="0" r="0" b="0"/>
                      <wp:wrapNone/>
                      <wp:docPr id="199" name="Frame199"/>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715010" cy="175260"/>
                      <wp:effectExtent l="0" t="0" r="0" b="0"/>
                      <wp:wrapNone/>
                      <wp:docPr id="200" name="Frame200"/>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07010" cy="175260"/>
                      <wp:effectExtent l="0" t="0" r="0" b="0"/>
                      <wp:wrapNone/>
                      <wp:docPr id="201" name="Frame2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33985" cy="175260"/>
                      <wp:effectExtent l="0" t="0" r="0" b="0"/>
                      <wp:wrapNone/>
                      <wp:docPr id="202" name="Frame2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591185" cy="175260"/>
                      <wp:effectExtent l="0" t="0" r="0" b="0"/>
                      <wp:wrapNone/>
                      <wp:docPr id="203" name="Frame20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07010" cy="175260"/>
                      <wp:effectExtent l="0" t="0" r="0" b="0"/>
                      <wp:wrapNone/>
                      <wp:docPr id="204" name="Frame2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61925" cy="175260"/>
                      <wp:effectExtent l="0" t="0" r="0" b="0"/>
                      <wp:wrapNone/>
                      <wp:docPr id="205" name="Frame205"/>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715010" cy="175260"/>
                      <wp:effectExtent l="0" t="0" r="0" b="0"/>
                      <wp:wrapNone/>
                      <wp:docPr id="206" name="Frame206"/>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07010" cy="175260"/>
                      <wp:effectExtent l="0" t="0" r="0" b="0"/>
                      <wp:wrapNone/>
                      <wp:docPr id="207" name="Frame2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33985" cy="175260"/>
                      <wp:effectExtent l="0" t="0" r="0" b="0"/>
                      <wp:wrapNone/>
                      <wp:docPr id="208" name="Frame2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57860" cy="175260"/>
                      <wp:effectExtent l="0" t="0" r="0" b="0"/>
                      <wp:wrapNone/>
                      <wp:docPr id="209" name="Frame20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4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2023</w:t>
            </w:r>
          </w:p>
        </w:tc>
        <w:tc>
          <w:tcPr>
            <w:tcW w:w="326" w:type="dxa"/>
            <w:tcBorders/>
            <w:vAlign w:val="center"/>
          </w:tcPr>
          <w:p>
            <w:pPr>
              <w:pStyle w:val="TableContents"/>
              <w:bidi w:val="0"/>
              <w:spacing w:before="0" w:after="0"/>
              <w:ind w:left="0" w:right="0" w:hanging="0"/>
              <w:jc w:val="left"/>
              <w:rPr/>
            </w:pPr>
            <w:r>
              <w:rPr/>
              <w:t>​</w:t>
            </w:r>
          </w:p>
        </w:tc>
        <w:tc>
          <w:tcPr>
            <w:tcW w:w="295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2022</w:t>
            </w:r>
          </w:p>
        </w:tc>
      </w:tr>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Amortized Cost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Fair Value</w:t>
            </w:r>
          </w:p>
        </w:tc>
        <w:tc>
          <w:tcPr>
            <w:tcW w:w="326" w:type="dxa"/>
            <w:tcBorders/>
            <w:vAlign w:val="center"/>
          </w:tcPr>
          <w:p>
            <w:pPr>
              <w:pStyle w:val="TableContents"/>
              <w:bidi w:val="0"/>
              <w:spacing w:before="0" w:after="0"/>
              <w:ind w:left="0" w:right="0" w:hanging="0"/>
              <w:jc w:val="left"/>
              <w:rPr/>
            </w:pPr>
            <w:r>
              <w:rPr/>
              <w:t>    </w:t>
            </w:r>
          </w:p>
        </w:tc>
        <w:tc>
          <w:tcPr>
            <w:tcW w:w="13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Amortized Cost</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Fair Value</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than 1 year:</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329,770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329,768</w:t>
            </w:r>
          </w:p>
        </w:tc>
        <w:tc>
          <w:tcPr>
            <w:tcW w:w="32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197,712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197,710</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Municipal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59,158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59,033</w:t>
            </w:r>
          </w:p>
        </w:tc>
        <w:tc>
          <w:tcPr>
            <w:tcW w:w="326" w:type="dxa"/>
            <w:tcBorders/>
            <w:shd w:fill="CCEEFF" w:val="clear"/>
            <w:vAlign w:val="center"/>
          </w:tcPr>
          <w:p>
            <w:pPr>
              <w:pStyle w:val="TableContents"/>
              <w:bidi w:val="0"/>
              <w:spacing w:before="0" w:after="0"/>
              <w:ind w:left="0" w:right="0" w:hanging="0"/>
              <w:jc w:val="left"/>
              <w:rPr/>
            </w:pPr>
            <w:r>
              <w:rPr/>
              <w:t> </w:t>
            </w:r>
          </w:p>
        </w:tc>
        <w:tc>
          <w:tcPr>
            <w:tcW w:w="255"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211,791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211,239</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government agency securities</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152,071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151,582</w:t>
            </w:r>
          </w:p>
        </w:tc>
        <w:tc>
          <w:tcPr>
            <w:tcW w:w="32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109,697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108,985</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Certificates of deposit </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15,161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15,161</w:t>
            </w:r>
          </w:p>
        </w:tc>
        <w:tc>
          <w:tcPr>
            <w:tcW w:w="326" w:type="dxa"/>
            <w:tcBorders/>
            <w:shd w:fill="CCEEFF" w:val="clear"/>
            <w:vAlign w:val="center"/>
          </w:tcPr>
          <w:p>
            <w:pPr>
              <w:pStyle w:val="TableContents"/>
              <w:bidi w:val="0"/>
              <w:spacing w:before="0" w:after="0"/>
              <w:ind w:left="0" w:right="0" w:hanging="0"/>
              <w:jc w:val="left"/>
              <w:rPr/>
            </w:pPr>
            <w:r>
              <w:rPr/>
              <w:t> </w:t>
            </w:r>
          </w:p>
        </w:tc>
        <w:tc>
          <w:tcPr>
            <w:tcW w:w="255"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10,078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10,078</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treasuries</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705,370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703,399</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838,825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834,302</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158,748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158,296</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Due 1 - 10 years:</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treasuries</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39,011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38,702</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53,164</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government agency securities</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2,571</w:t>
            </w:r>
          </w:p>
        </w:tc>
        <w:tc>
          <w:tcPr>
            <w:tcW w:w="32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2,013</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rate demand notes</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4,862</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21,065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20,975</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Due 11 - 20 years:</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rate demand notes</w:t>
            </w:r>
          </w:p>
        </w:tc>
        <w:tc>
          <w:tcPr>
            <w:tcW w:w="326"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1,404</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1,482,934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1,479,487</w:t>
            </w:r>
          </w:p>
        </w:tc>
        <w:tc>
          <w:tcPr>
            <w:tcW w:w="326" w:type="dxa"/>
            <w:tcBorders/>
            <w:shd w:fill="CCEEFF" w:val="clear"/>
            <w:vAlign w:val="center"/>
          </w:tcPr>
          <w:p>
            <w:pPr>
              <w:pStyle w:val="TableContents"/>
              <w:bidi w:val="0"/>
              <w:spacing w:before="0" w:after="0"/>
              <w:ind w:left="0" w:right="0" w:hanging="0"/>
              <w:jc w:val="left"/>
              <w:rPr/>
            </w:pPr>
            <w:r>
              <w:rPr/>
              <w:t> </w:t>
            </w:r>
          </w:p>
        </w:tc>
        <w:tc>
          <w:tcPr>
            <w:tcW w:w="2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1,429,600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1,423,757</w:t>
            </w:r>
          </w:p>
        </w:tc>
      </w:tr>
    </w:tbl>
    <w:p>
      <w:pPr>
        <w:pStyle w:val="TextBody"/>
        <w:pBdr/>
        <w:bidi w:val="0"/>
        <w:spacing w:before="0" w:after="240"/>
        <w:ind w:left="0" w:right="0" w:hanging="720"/>
        <w:jc w:val="left"/>
        <w:rPr/>
      </w:pPr>
      <w:r>
        <w:rPr/>
        <w:t>​</w:t>
      </w:r>
    </w:p>
    <w:p>
      <w:pPr>
        <w:pStyle w:val="TextBody"/>
        <w:bidi w:val="0"/>
        <w:spacing w:before="0" w:after="0"/>
        <w:ind w:left="0" w:right="0" w:hanging="0"/>
        <w:jc w:val="left"/>
        <w:rPr/>
      </w:pPr>
      <w:r>
        <w:rPr/>
        <w:t>​</w:t>
      </w:r>
    </w:p>
    <w:tbl>
      <w:tblPr>
        <w:tblW w:w="6107" w:type="dxa"/>
        <w:jc w:val="left"/>
        <w:tblInd w:w="0" w:type="dxa"/>
        <w:tblLayout w:type="fixed"/>
        <w:tblCellMar>
          <w:top w:w="0" w:type="dxa"/>
          <w:left w:w="0" w:type="dxa"/>
          <w:bottom w:w="0" w:type="dxa"/>
          <w:right w:w="0" w:type="dxa"/>
        </w:tblCellMar>
      </w:tblPr>
      <w:tblGrid>
        <w:gridCol w:w="271"/>
        <w:gridCol w:w="5836"/>
      </w:tblGrid>
      <w:tr>
        <w:trPr/>
        <w:tc>
          <w:tcPr>
            <w:tcW w:w="27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583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FAIR VALUE OF CERTAIN FINANCIAL ASSETS AND LIABILITIES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ASC 820, “Fair Value Measurement”, provides a framework for measuring fair value and requires disclosures regarding fair value measurements. ASC 820 defines fair value as the price that would be received on the sale of an asset or paid to transfer a liability in an orderly transaction between market participants at the measurement date. ASC 820 also establishes a fair value hierarchy that requires an entity to maximize the use of observable inputs, where available. The three levels of inputs required by the standard that the Company uses to measure fair value are summarized below.</w:t>
      </w:r>
    </w:p>
    <w:tbl>
      <w:tblPr>
        <w:tblW w:w="6441" w:type="dxa"/>
        <w:jc w:val="left"/>
        <w:tblInd w:w="0" w:type="dxa"/>
        <w:tblLayout w:type="fixed"/>
        <w:tblCellMar>
          <w:top w:w="28" w:type="dxa"/>
          <w:left w:w="28" w:type="dxa"/>
          <w:bottom w:w="28" w:type="dxa"/>
          <w:right w:w="28" w:type="dxa"/>
        </w:tblCellMar>
      </w:tblPr>
      <w:tblGrid>
        <w:gridCol w:w="124"/>
        <w:gridCol w:w="256"/>
        <w:gridCol w:w="6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6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 xml:space="preserve">Level 1: </w:t>
            </w:r>
            <w:r>
              <w:rPr>
                <w:rFonts w:ascii="Times New Roman;Times;serif" w:hAnsi="Times New Roman;Times;serif"/>
                <w:b w:val="false"/>
                <w:i w:val="false"/>
                <w:caps w:val="false"/>
                <w:smallCaps w:val="false"/>
                <w:sz w:val="20"/>
              </w:rPr>
              <w:t>Quoted prices in active markets for identical assets or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 xml:space="preserve">Level 2: </w:t>
            </w:r>
            <w:r>
              <w:rPr>
                <w:rFonts w:ascii="Times New Roman;Times;serif" w:hAnsi="Times New Roman;Times;serif"/>
                <w:b w:val="false"/>
                <w:i w:val="false"/>
                <w:caps w:val="false"/>
                <w:smallCaps w:val="false"/>
                <w:sz w:val="20"/>
              </w:rPr>
              <w:t>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assets or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 xml:space="preserve">Level 3: </w:t>
            </w:r>
            <w:r>
              <w:rPr>
                <w:rFonts w:ascii="Times New Roman;Times;serif" w:hAnsi="Times New Roman;Times;serif"/>
                <w:b w:val="false"/>
                <w:i w:val="false"/>
                <w:caps w:val="false"/>
                <w:smallCaps w:val="false"/>
                <w:sz w:val="20"/>
              </w:rPr>
              <w:t>Unobservable inputs that are supported by little or no market activity and that are significant to the fair value of the assets or liabilities.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ASC 820 requires the use of observable market inputs (quoted market prices) when measuring fair value and requires a Level 1 quoted price to be used to measure fair value whenever possible.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bookmarkStart w:id="1320" w:name="Tc_RxRe7_zBUU2WnDo6psFxoQ_19_11"/>
      <w:bookmarkStart w:id="1321" w:name="Tc_EP-eVa85K0-2ohQVYfL6mQ_19_8"/>
      <w:bookmarkStart w:id="1322" w:name="Tc_-mVZLAhptU25sw5-v6fV8w_19_5"/>
      <w:bookmarkStart w:id="1323" w:name="Tc_bpCMv8QH8k-SZztzUA-21w_19_2"/>
      <w:bookmarkStart w:id="1324" w:name="Tc_gfA5rqMHBU-bvetpLIVYqw_19_0"/>
      <w:bookmarkStart w:id="1325" w:name="Tc_k69gFlq2y0CgX_XRsici-Q_18_0"/>
      <w:bookmarkStart w:id="1326" w:name="Tc_R48ywG57206VvZGzz0XMTA_17_0"/>
      <w:bookmarkStart w:id="1327" w:name="Tc_3_zfXdMXOEOtkPepvMCvqw_16_0"/>
      <w:bookmarkStart w:id="1328" w:name="Tc_18Gw3XYbC0GVk803TDu1Lw_15_0"/>
      <w:bookmarkStart w:id="1329" w:name="Tc_Rj34_Kab6kKa9w4ng-w3zg_14_11"/>
      <w:bookmarkStart w:id="1330" w:name="Tc_OWa76ImgTkW8POfQThBcNA_14_8"/>
      <w:bookmarkStart w:id="1331" w:name="Tc_tNl0w8He0EiR3lEgi_a3LA_14_5"/>
      <w:bookmarkStart w:id="1332" w:name="Tc_vvWC2MRrJ0e6RYRmZH1cJg_14_2"/>
      <w:bookmarkStart w:id="1333" w:name="Tc_c3c6OUc8DUuaZ11grcsUhg_14_0"/>
      <w:bookmarkStart w:id="1334" w:name="Tc_LNnz4BuWzUKgbzkcoTbozw_13_0"/>
      <w:bookmarkStart w:id="1335" w:name="Tc_d9cHLxx4wUmPHAgAo_lnWQ_11_11"/>
      <w:bookmarkStart w:id="1336" w:name="Tc_aWdtCUHmfkK-pNjB3JHOZA_11_8"/>
      <w:bookmarkStart w:id="1337" w:name="Tc_qwOY8AuJDEK9YXbv9y9BLg_11_5"/>
      <w:bookmarkStart w:id="1338" w:name="Tc_3Wd_qFIqxk6cY51V-OtcGg_11_2"/>
      <w:bookmarkStart w:id="1339" w:name="Tc_I0CBuHOiBUOZsuaUm9wXeA_11_0"/>
      <w:bookmarkStart w:id="1340" w:name="Tc_nwH-4mV3r0iI_GekTjMg3Q_10_0"/>
      <w:bookmarkStart w:id="1341" w:name="Tc_zoR-R-k7FUuwJqq9LbO9cw_9_0"/>
      <w:bookmarkStart w:id="1342" w:name="Tc_LTR_7ocCpkqQJD7PBbDJoA_8_0"/>
      <w:bookmarkStart w:id="1343" w:name="Tc_LHeQlHQCmEC7gz2-R6DEYg_7_0"/>
      <w:bookmarkStart w:id="1344" w:name="Tc_Xa0a4DguX0-j1Dsjql29Rg_6_0"/>
      <w:bookmarkStart w:id="1345" w:name="Tc_NAvpPHaEG0eqF4EXjhDhIA_5_0"/>
      <w:bookmarkStart w:id="1346" w:name="Tc_H8QPbQYh106HPk5w4k2RKg_4_0"/>
      <w:bookmarkStart w:id="1347" w:name="Tc_62rz63MgOEuX_kDtN9iawQ_3_0"/>
      <w:bookmarkStart w:id="1348" w:name="Tc_vdOcuMVDxEKSczW5BztRQA_2_11"/>
      <w:bookmarkStart w:id="1349" w:name="Tc_1Yt3RtuWV0W-PJmTRaYc0Q_2_8"/>
      <w:bookmarkStart w:id="1350" w:name="Tc_yDV7Lo1yA02yQT4G6tBpNA_2_5"/>
      <w:bookmarkStart w:id="1351" w:name="Tc_8NpmJaRUZkOPgTSH62Xp_g_2_2"/>
      <w:bookmarkStart w:id="1352" w:name="Tc_0gkMiJEwk0yVEbakBKF00g_2_0"/>
      <w:bookmarkStart w:id="1353" w:name="Tc_zRcgQqs3O02pdo2a9qp0GQ_1_11"/>
      <w:bookmarkStart w:id="1354" w:name="Tc_YOjbnRH3bUqM6BZwwx8N2Q_1_8"/>
      <w:bookmarkStart w:id="1355" w:name="Tc_PU4mmhw-LUiRtleRz54NSg_1_5"/>
      <w:bookmarkStart w:id="1356" w:name="Tc_AwVw55JGkECxeLYnOqx20w_1_2"/>
      <w:bookmarkStart w:id="1357" w:name="Tc_uLxsSgne_kWlS3LPEpFAYA_1_0"/>
      <w:bookmarkStart w:id="1358" w:name="_c899e345_8a9f_4227_b79e_3e69ce4878b9"/>
      <w:bookmarkStart w:id="1359" w:name="Tc_agRcEsHFCECP7YDuI27zvg_21_11"/>
      <w:bookmarkStart w:id="1360" w:name="Tc_NBbO4blHzU2fiI07Vtxo6g_21_8"/>
      <w:bookmarkStart w:id="1361" w:name="Tc_vFnemUbPdk2AXtYbzRmHmw_21_5"/>
      <w:bookmarkStart w:id="1362" w:name="Tc_WwjFSQDt-E65VvlrdX5OQw_21_2"/>
      <w:bookmarkStart w:id="1363" w:name="Tc_0AhGEQGUXki4Yxkh2gTc8w_21_0"/>
      <w:bookmarkStart w:id="1364" w:name="Tc_dz7YXfpK90C75p2-A7yxpw_20_9"/>
      <w:bookmarkStart w:id="1365" w:name="Tc_LtOioC59rUm71ptIH8x8Bg_20_3"/>
      <w:bookmarkStart w:id="1366" w:name="Tc_gdwfcz0atk2jxsd9tEHqHA_20_0"/>
      <w:bookmarkStart w:id="1367" w:name="Tc_ezaedMviKkiGmUCUfXwS6Q_19_0"/>
      <w:bookmarkStart w:id="1368" w:name="Tc_5Ehox0IrOEK9JBbirj2svg_18_0"/>
      <w:bookmarkStart w:id="1369" w:name="Tc_DUfesyz2okucBFCVin3qpg_17_0"/>
      <w:bookmarkStart w:id="1370" w:name="Tc_Y6wPChuNgkuB8_milwA5zQ_16_0"/>
      <w:bookmarkStart w:id="1371" w:name="Tc_az8qqJy950O2p7eTxtg42A_15_11"/>
      <w:bookmarkStart w:id="1372" w:name="Tc_v3rXMVmmWEObObdVTHJRPA_15_8"/>
      <w:bookmarkStart w:id="1373" w:name="Tc_fRqAy9kU7ka0ZqEQITSvDQ_15_5"/>
      <w:bookmarkStart w:id="1374" w:name="Tc_Ewxa6G7bEE-zCC6OleHpsw_15_2"/>
      <w:bookmarkStart w:id="1375" w:name="Tc_Y4F94njBuE6SXY17awmV6w_15_0"/>
      <w:bookmarkStart w:id="1376" w:name="Tc_mgKe9cMzuk-2qD9v5liC5w_14_0"/>
      <w:bookmarkStart w:id="1377" w:name="Tc_vT6vgm2NA0Sr-kZDv7cGgA_12_11"/>
      <w:bookmarkStart w:id="1378" w:name="Tc_9QbmDrwsTke_OnQ7VdoQww_12_8"/>
      <w:bookmarkStart w:id="1379" w:name="Tc_G9TO_P53Tkuuj-4qGu-Gfg_12_5"/>
      <w:bookmarkStart w:id="1380" w:name="Tc_EUz0Ak-RC0CgXAepPyrjmg_12_2"/>
      <w:bookmarkStart w:id="1381" w:name="Tc_KqSYEkb2rUeQWfKed-HDIw_12_0"/>
      <w:bookmarkStart w:id="1382" w:name="Tc_oYx9cpMqHU6fUoSIxmHoqw_11_9"/>
      <w:bookmarkStart w:id="1383" w:name="Tc_aeR-819BYk2Yp3vOHmyciQ_11_3"/>
      <w:bookmarkStart w:id="1384" w:name="Tc_X5yCTE7qD0GTwVH1d-HoRQ_11_0"/>
      <w:bookmarkStart w:id="1385" w:name="Tc_p8gpcWz2pUedOKq8zqtM3g_10_0"/>
      <w:bookmarkStart w:id="1386" w:name="Tc_L2koE-7IHUuMCoMglFR5Pw_9_0"/>
      <w:bookmarkStart w:id="1387" w:name="Tc_gUKmsYf2vU6gj8pKwqkGKQ_8_0"/>
      <w:bookmarkStart w:id="1388" w:name="Tc_bBRGqnbe1kmC5COuWZq_ug_7_0"/>
      <w:bookmarkStart w:id="1389" w:name="Tc_8Xf6Qm-Y80691FjfKeLUmA_6_0"/>
      <w:bookmarkStart w:id="1390" w:name="Tc_QkmgExsJh06VCuDGc9NzJw_5_0"/>
      <w:bookmarkStart w:id="1391" w:name="Tc_zBrZk7pajEChwHMO5EMMdg_4_0"/>
      <w:bookmarkStart w:id="1392" w:name="Tc_uSO_qOu7w0yzSy8KKBKIbQ_3_0"/>
      <w:bookmarkStart w:id="1393" w:name="Tc_MrQSvrXTj0ePou938-u76A_2_11"/>
      <w:bookmarkStart w:id="1394" w:name="Tc_rOOSl3oDUU-dTEEu3Bc-QQ_2_8"/>
      <w:bookmarkStart w:id="1395" w:name="Tc_ybCb9UDE5UmrNMILw1v6DQ_2_5"/>
      <w:bookmarkStart w:id="1396" w:name="Tc_Vxq4Xnp5kUaDM6l9cYHjnA_2_2"/>
      <w:bookmarkStart w:id="1397" w:name="Tc_kfPYSSvNl0-fAC5ip2pyyQ_2_0"/>
      <w:bookmarkStart w:id="1398" w:name="Tc_cDzJc9rQ9E6xD8YQ3Be1iA_1_11"/>
      <w:bookmarkStart w:id="1399" w:name="Tc_q4gCcGgqAkCuO9CHFXf0fA_1_8"/>
      <w:bookmarkStart w:id="1400" w:name="Tc_zi4zA_4f8E2uKaKBIH4dQg_1_5"/>
      <w:bookmarkStart w:id="1401" w:name="Tc_eLgfI4kvOkaMZIQdMgchSw_1_2"/>
      <w:bookmarkStart w:id="1402" w:name="Tc_XEwMCwZ1qkWLv1Onv5mXhA_1_0"/>
      <w:bookmarkStart w:id="1403" w:name="_28b21def_c64e_419b_9475_3e21586523d5"/>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r>
        <w:rPr>
          <w:rFonts w:ascii="Times New Roman;Times;serif" w:hAnsi="Times New Roman;Times;serif"/>
          <w:sz w:val="20"/>
        </w:rPr>
        <w:t>The following tables present the fair value of the Company’s financial assets and liabilities that are recorded at fair value on a recurring basis, segregated among the appropriate levels within the fair value hierarchy at:</w:t>
      </w:r>
    </w:p>
    <w:p>
      <w:pPr>
        <w:pStyle w:val="TextBody"/>
        <w:bidi w:val="0"/>
        <w:spacing w:before="0" w:after="0"/>
        <w:ind w:left="0" w:right="0" w:firstLine="720"/>
        <w:jc w:val="both"/>
        <w:rPr/>
      </w:pPr>
      <w:r>
        <w:rPr/>
        <w:t>​</w:t>
      </w:r>
    </w:p>
    <w:tbl>
      <w:tblPr>
        <w:tblW w:w="8467" w:type="dxa"/>
        <w:jc w:val="left"/>
        <w:tblInd w:w="0" w:type="dxa"/>
        <w:tblLayout w:type="fixed"/>
        <w:tblCellMar>
          <w:top w:w="0" w:type="dxa"/>
          <w:left w:w="0" w:type="dxa"/>
          <w:bottom w:w="0" w:type="dxa"/>
          <w:right w:w="0" w:type="dxa"/>
        </w:tblCellMar>
      </w:tblPr>
      <w:tblGrid>
        <w:gridCol w:w="2911"/>
        <w:gridCol w:w="326"/>
        <w:gridCol w:w="211"/>
        <w:gridCol w:w="931"/>
        <w:gridCol w:w="326"/>
        <w:gridCol w:w="211"/>
        <w:gridCol w:w="931"/>
        <w:gridCol w:w="326"/>
        <w:gridCol w:w="273"/>
        <w:gridCol w:w="448"/>
        <w:gridCol w:w="326"/>
        <w:gridCol w:w="211"/>
        <w:gridCol w:w="1036"/>
      </w:tblGrid>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07010" cy="175260"/>
                      <wp:effectExtent l="0" t="0" r="0" b="0"/>
                      <wp:wrapNone/>
                      <wp:docPr id="210" name="Frame2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33985" cy="175260"/>
                      <wp:effectExtent l="0" t="0" r="0" b="0"/>
                      <wp:wrapNone/>
                      <wp:docPr id="211" name="Frame2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591185" cy="175260"/>
                      <wp:effectExtent l="0" t="0" r="0" b="0"/>
                      <wp:wrapNone/>
                      <wp:docPr id="212" name="Frame21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07010" cy="175260"/>
                      <wp:effectExtent l="0" t="0" r="0" b="0"/>
                      <wp:wrapNone/>
                      <wp:docPr id="213" name="Frame2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33985" cy="175260"/>
                      <wp:effectExtent l="0" t="0" r="0" b="0"/>
                      <wp:wrapNone/>
                      <wp:docPr id="214" name="Frame2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591185" cy="175260"/>
                      <wp:effectExtent l="0" t="0" r="0" b="0"/>
                      <wp:wrapNone/>
                      <wp:docPr id="215" name="Frame21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07010" cy="175260"/>
                      <wp:effectExtent l="0" t="0" r="0" b="0"/>
                      <wp:wrapNone/>
                      <wp:docPr id="216" name="Frame2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73355" cy="175260"/>
                      <wp:effectExtent l="0" t="0" r="0" b="0"/>
                      <wp:wrapNone/>
                      <wp:docPr id="217" name="Frame217"/>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84480" cy="175260"/>
                      <wp:effectExtent l="0" t="0" r="0" b="0"/>
                      <wp:wrapNone/>
                      <wp:docPr id="218" name="Frame218"/>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07010" cy="175260"/>
                      <wp:effectExtent l="0" t="0" r="0" b="0"/>
                      <wp:wrapNone/>
                      <wp:docPr id="219" name="Frame2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33985" cy="175260"/>
                      <wp:effectExtent l="0" t="0" r="0" b="0"/>
                      <wp:wrapNone/>
                      <wp:docPr id="220" name="Frame2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57860" cy="175260"/>
                      <wp:effectExtent l="0" t="0" r="0" b="0"/>
                      <wp:wrapNone/>
                      <wp:docPr id="221" name="Frame22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30, 2023</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1</w:t>
            </w:r>
          </w:p>
        </w:tc>
        <w:tc>
          <w:tcPr>
            <w:tcW w:w="326" w:type="dxa"/>
            <w:tcBorders/>
            <w:vAlign w:val="center"/>
          </w:tcPr>
          <w:p>
            <w:pPr>
              <w:pStyle w:val="TableContents"/>
              <w:bidi w:val="0"/>
              <w:spacing w:before="0" w:after="0"/>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2</w:t>
            </w:r>
          </w:p>
        </w:tc>
        <w:tc>
          <w:tcPr>
            <w:tcW w:w="326" w:type="dxa"/>
            <w:tcBorders/>
            <w:vAlign w:val="center"/>
          </w:tcPr>
          <w:p>
            <w:pPr>
              <w:pStyle w:val="TableContents"/>
              <w:bidi w:val="0"/>
              <w:spacing w:before="0" w:after="0"/>
              <w:ind w:left="0" w:right="0" w:hanging="0"/>
              <w:jc w:val="center"/>
              <w:rPr/>
            </w:pPr>
            <w:r>
              <w:rPr/>
              <w:t>    </w:t>
            </w:r>
          </w:p>
        </w:tc>
        <w:tc>
          <w:tcPr>
            <w:tcW w:w="7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3</w:t>
            </w:r>
          </w:p>
        </w:tc>
        <w:tc>
          <w:tcPr>
            <w:tcW w:w="326" w:type="dxa"/>
            <w:tcBorders/>
            <w:vAlign w:val="center"/>
          </w:tcPr>
          <w:p>
            <w:pPr>
              <w:pStyle w:val="TableContents"/>
              <w:bidi w:val="0"/>
              <w:spacing w:before="0" w:after="0"/>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877,582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877,582</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911,446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911,446</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Certificates of deposit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47,109</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47,109</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336,764</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336,764</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179,271</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179,271</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Municipal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59,033</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59,033</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government agency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162,351</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 </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162,351</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U.S. treasuries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775,707</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775,707</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derivatives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 </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Commodity derivatives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(1,266)</w:t>
            </w:r>
          </w:p>
        </w:tc>
        <w:tc>
          <w:tcPr>
            <w:tcW w:w="326" w:type="dxa"/>
            <w:tcBorders/>
            <w:vAlign w:val="center"/>
          </w:tcPr>
          <w:p>
            <w:pPr>
              <w:pStyle w:val="TableContents"/>
              <w:bidi w:val="0"/>
              <w:spacing w:before="0" w:after="0"/>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4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(1,266)</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1,789,028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1,559,147</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3,348,175</w:t>
            </w:r>
          </w:p>
        </w:tc>
      </w:tr>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included in: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1,789,028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80,746</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1,869,774</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1,417,239</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 </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1,417,239</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62,248</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 </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62,248</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(1,219)</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(1,219)</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1,789,028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1,559,147</w:t>
            </w:r>
          </w:p>
        </w:tc>
        <w:tc>
          <w:tcPr>
            <w:tcW w:w="326" w:type="dxa"/>
            <w:tcBorders/>
            <w:vAlign w:val="center"/>
          </w:tcPr>
          <w:p>
            <w:pPr>
              <w:pStyle w:val="TableContents"/>
              <w:bidi w:val="0"/>
              <w:spacing w:before="0" w:after="0"/>
              <w:ind w:left="0" w:right="0" w:hanging="0"/>
              <w:jc w:val="left"/>
              <w:rPr/>
            </w:pPr>
            <w:r>
              <w:rPr/>
              <w:t>​</w:t>
            </w:r>
          </w:p>
        </w:tc>
        <w:tc>
          <w:tcPr>
            <w:tcW w:w="27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3,348,175</w:t>
            </w:r>
          </w:p>
        </w:tc>
      </w:tr>
    </w:tbl>
    <w:p>
      <w:pPr>
        <w:pStyle w:val="TextBody"/>
        <w:bidi w:val="0"/>
        <w:spacing w:before="0" w:after="0"/>
        <w:ind w:left="0" w:right="0" w:firstLine="720"/>
        <w:jc w:val="both"/>
        <w:rPr/>
      </w:pPr>
      <w:r>
        <w:rPr/>
        <w:t>​</w:t>
      </w:r>
    </w:p>
    <w:tbl>
      <w:tblPr>
        <w:tblW w:w="8467" w:type="dxa"/>
        <w:jc w:val="left"/>
        <w:tblInd w:w="0" w:type="dxa"/>
        <w:tblLayout w:type="fixed"/>
        <w:tblCellMar>
          <w:top w:w="0" w:type="dxa"/>
          <w:left w:w="0" w:type="dxa"/>
          <w:bottom w:w="0" w:type="dxa"/>
          <w:right w:w="0" w:type="dxa"/>
        </w:tblCellMar>
      </w:tblPr>
      <w:tblGrid>
        <w:gridCol w:w="2911"/>
        <w:gridCol w:w="326"/>
        <w:gridCol w:w="211"/>
        <w:gridCol w:w="931"/>
        <w:gridCol w:w="326"/>
        <w:gridCol w:w="211"/>
        <w:gridCol w:w="931"/>
        <w:gridCol w:w="326"/>
        <w:gridCol w:w="273"/>
        <w:gridCol w:w="448"/>
        <w:gridCol w:w="326"/>
        <w:gridCol w:w="211"/>
        <w:gridCol w:w="1036"/>
      </w:tblGrid>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07010" cy="175260"/>
                      <wp:effectExtent l="0" t="0" r="0" b="0"/>
                      <wp:wrapNone/>
                      <wp:docPr id="222" name="Frame2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33985" cy="175260"/>
                      <wp:effectExtent l="0" t="0" r="0" b="0"/>
                      <wp:wrapNone/>
                      <wp:docPr id="223" name="Frame2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591185" cy="175260"/>
                      <wp:effectExtent l="0" t="0" r="0" b="0"/>
                      <wp:wrapNone/>
                      <wp:docPr id="224" name="Frame22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07010" cy="175260"/>
                      <wp:effectExtent l="0" t="0" r="0" b="0"/>
                      <wp:wrapNone/>
                      <wp:docPr id="225" name="Frame2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33985" cy="175260"/>
                      <wp:effectExtent l="0" t="0" r="0" b="0"/>
                      <wp:wrapNone/>
                      <wp:docPr id="226" name="Frame2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591185" cy="175260"/>
                      <wp:effectExtent l="0" t="0" r="0" b="0"/>
                      <wp:wrapNone/>
                      <wp:docPr id="227" name="Frame22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07010" cy="175260"/>
                      <wp:effectExtent l="0" t="0" r="0" b="0"/>
                      <wp:wrapNone/>
                      <wp:docPr id="228" name="Frame2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73355" cy="175260"/>
                      <wp:effectExtent l="0" t="0" r="0" b="0"/>
                      <wp:wrapNone/>
                      <wp:docPr id="229" name="Frame229"/>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84480" cy="175260"/>
                      <wp:effectExtent l="0" t="0" r="0" b="0"/>
                      <wp:wrapNone/>
                      <wp:docPr id="230" name="Frame230"/>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07010" cy="175260"/>
                      <wp:effectExtent l="0" t="0" r="0" b="0"/>
                      <wp:wrapNone/>
                      <wp:docPr id="231" name="Frame2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33985" cy="175260"/>
                      <wp:effectExtent l="0" t="0" r="0" b="0"/>
                      <wp:wrapNone/>
                      <wp:docPr id="232" name="Frame2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57860" cy="175260"/>
                      <wp:effectExtent l="0" t="0" r="0" b="0"/>
                      <wp:wrapNone/>
                      <wp:docPr id="233" name="Frame23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31, 2022</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1</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2</w:t>
            </w:r>
          </w:p>
        </w:tc>
        <w:tc>
          <w:tcPr>
            <w:tcW w:w="326" w:type="dxa"/>
            <w:tcBorders/>
            <w:vAlign w:val="center"/>
          </w:tcPr>
          <w:p>
            <w:pPr>
              <w:pStyle w:val="TableContents"/>
              <w:bidi w:val="0"/>
              <w:spacing w:before="0" w:after="0"/>
              <w:ind w:left="0" w:right="0" w:hanging="0"/>
              <w:jc w:val="left"/>
              <w:rPr/>
            </w:pPr>
            <w:r>
              <w:rPr/>
              <w:t>    </w:t>
            </w:r>
          </w:p>
        </w:tc>
        <w:tc>
          <w:tcPr>
            <w:tcW w:w="7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3</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1,132,509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1,132,509</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121,444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121,444</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Certificates of deposit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10,078</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10,078</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225,067</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225,067</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rate demand notes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6,266</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6,266</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Municipal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213,798</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213,798</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government agency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113,357</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 </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113,357</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908,379</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908,379</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derivatives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(3,733)</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(3,733)</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1,253,953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1,473,212</w:t>
            </w:r>
          </w:p>
        </w:tc>
        <w:tc>
          <w:tcPr>
            <w:tcW w:w="326" w:type="dxa"/>
            <w:tcBorders/>
            <w:vAlign w:val="center"/>
          </w:tcPr>
          <w:p>
            <w:pPr>
              <w:pStyle w:val="TableContents"/>
              <w:bidi w:val="0"/>
              <w:spacing w:before="0" w:after="0"/>
              <w:ind w:left="0" w:right="0" w:hanging="0"/>
              <w:jc w:val="left"/>
              <w:rPr/>
            </w:pPr>
            <w:r>
              <w:rPr/>
              <w:t>​</w:t>
            </w:r>
          </w:p>
        </w:tc>
        <w:tc>
          <w:tcPr>
            <w:tcW w:w="27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2,727,165</w:t>
            </w:r>
          </w:p>
        </w:tc>
      </w:tr>
      <w:tr>
        <w:trPr/>
        <w:tc>
          <w:tcPr>
            <w:tcW w:w="29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included in: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1,253,953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53,188</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1,307,141</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1,362,314</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1,362,314</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965</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 </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965</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61,443</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61,443</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(4,698)</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(4,698)</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1,253,953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1,473,212</w:t>
            </w:r>
          </w:p>
        </w:tc>
        <w:tc>
          <w:tcPr>
            <w:tcW w:w="326" w:type="dxa"/>
            <w:tcBorders/>
            <w:vAlign w:val="center"/>
          </w:tcPr>
          <w:p>
            <w:pPr>
              <w:pStyle w:val="TableContents"/>
              <w:bidi w:val="0"/>
              <w:spacing w:before="0" w:after="0"/>
              <w:ind w:left="0" w:right="0" w:hanging="0"/>
              <w:jc w:val="left"/>
              <w:rPr/>
            </w:pPr>
            <w:r>
              <w:rPr/>
              <w:t>​</w:t>
            </w:r>
          </w:p>
        </w:tc>
        <w:tc>
          <w:tcPr>
            <w:tcW w:w="27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2,727,165</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All of the Company’s short-term and long-term investments are classified within Level 1 or Level 2 of the fair value hierarchy. The Company’s valuation of its Level 1 investments is based on quoted market prices in active markets for identical securities. The Company’s valuation of its Level 2 investments is based on other observable inputs, specifically a market approach which utilizes valuation models, pricing systems, mathematical tools and other relevant information for the same or similar securities. The Company’s valuation of its Level 2 foreign currency exchange contracts is based on quoted market prices of the same or similar instruments, adjusted for counterparty risk. There were no transfers between Level 1 and Level 2 measurements during the three- and six-months ended June 30, 2023, or during the year-ended December 31, 2022, and there were no changes in the Company’s valuation techniques.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404" w:name="Tc_K0epObrPsUugSwe8JwibHQ_5_8"/>
      <w:bookmarkStart w:id="1405" w:name="Tc_Mzld3UoceUCLtkOR2Lxvpw_5_7"/>
      <w:bookmarkStart w:id="1406" w:name="Tc_4QAm7BC5akqZw8uglR-ENQ_5_2"/>
      <w:bookmarkStart w:id="1407" w:name="Tc_1h4ynVk8S0SMGlSDcuK6ag_5_0"/>
      <w:bookmarkStart w:id="1408" w:name="Tc_kX-coil8m0C9Vmhz4suQ_Q_4_7"/>
      <w:bookmarkStart w:id="1409" w:name="Tc_Ngt_obuVIUyG3Q2cD1F8Ow_4_5"/>
      <w:bookmarkStart w:id="1410" w:name="Tc__Q-fO5AKK027DA1GXlYP_w_4_2"/>
      <w:bookmarkStart w:id="1411" w:name="Tc_mL-2bQmeXEiCecESHX3a3w_4_0"/>
      <w:bookmarkStart w:id="1412" w:name="Tc_54JbQK35d0iQLmFUBB_0Jg_3_7"/>
      <w:bookmarkStart w:id="1413" w:name="Tc_ey4AJJMbzUyV4KkeU9YqvQ_3_5"/>
      <w:bookmarkStart w:id="1414" w:name="Tc_eEHYnjPAiUiZH8cZRQtl0g_3_2"/>
      <w:bookmarkStart w:id="1415" w:name="Tc_V1dAaMIe_kqOdO2l846QCQ_3_0"/>
      <w:bookmarkStart w:id="1416" w:name="Tc_f6hZwH36bkCX5jNHPxiuxQ_2_7"/>
      <w:bookmarkStart w:id="1417" w:name="Tc_JQIYGtFXg0GfJesLnqiA6w_2_0"/>
      <w:bookmarkStart w:id="1418" w:name="Tc_QReWNS1NJUmY9qKWPO7o8A_1_0"/>
      <w:bookmarkStart w:id="1419" w:name="_52df4528_3cf7_4d45_a053_4f03c632f5c0"/>
      <w:bookmarkStart w:id="1420" w:name="Tc_rfAnolNh80-Rda9TEwuLIg_5_8"/>
      <w:bookmarkStart w:id="1421" w:name="Tc_SU1a669PDUW73Oe4t73WgQ_5_7"/>
      <w:bookmarkStart w:id="1422" w:name="Tc_nQ8dPNE1-EqlLfHKBWPjNw_5_2"/>
      <w:bookmarkStart w:id="1423" w:name="Tc_OxOsqW9MtEmbW8sHtBSaJA_5_0"/>
      <w:bookmarkStart w:id="1424" w:name="Tc_KfYOSjaHLUumCJzc5gl-zg_4_7"/>
      <w:bookmarkStart w:id="1425" w:name="Tc_jEUISbr5_EmXjkHWi2SkrQ_4_5"/>
      <w:bookmarkStart w:id="1426" w:name="Tc_9lKx8Mlvz0eBl51F_nQtrg_4_2"/>
      <w:bookmarkStart w:id="1427" w:name="Tc_6dIz1tyDV0akDw11VZkezA_4_0"/>
      <w:bookmarkStart w:id="1428" w:name="Tc_zK4vmkw8Ikuy_IJx4CxTyw_3_7"/>
      <w:bookmarkStart w:id="1429" w:name="Tc_yfC2VUS2MkSW6e0DzJ_jFQ_3_5"/>
      <w:bookmarkStart w:id="1430" w:name="Tc_ocEA6yybfkmmgZ_YEyarvw_3_2"/>
      <w:bookmarkStart w:id="1431" w:name="Tc_RlbzTm91QkyaFRN66fSRyA_3_0"/>
      <w:bookmarkStart w:id="1432" w:name="Tc_26aGoeDmt0mU7bV842H4wg_2_7"/>
      <w:bookmarkStart w:id="1433" w:name="Tc_s0CRVKVcx0qZEU2wLX0B2A_2_0"/>
      <w:bookmarkStart w:id="1434" w:name="Tc_BK51lVSJoEqlTbXmCj8KIQ_1_0"/>
      <w:bookmarkStart w:id="1435" w:name="_560133bd_5d71_4ecd_a182_7bfcd47d760d"/>
      <w:bookmarkStart w:id="1436" w:name="Tc_010ThCCDe0acgt3xR9Uhaw_7_8"/>
      <w:bookmarkStart w:id="1437" w:name="Tc_FHE3BHEXJE-RuLc9_YnQBQ_7_5"/>
      <w:bookmarkStart w:id="1438" w:name="Tc_ECceGeSWH0G-jROx50kNBQ_7_2"/>
      <w:bookmarkStart w:id="1439" w:name="Tc_V_loheEZo06plOcvJOrCqg_7_0"/>
      <w:bookmarkStart w:id="1440" w:name="Tc__ULPCbDWl0OiBZoHX5oGug_6_0"/>
      <w:bookmarkStart w:id="1441" w:name="Tc_klrPvzYys0Cz5VLYknuEcQ_5_8"/>
      <w:bookmarkStart w:id="1442" w:name="Tc_0L-qHTLPd0-OOTVtSxeecg_5_5"/>
      <w:bookmarkStart w:id="1443" w:name="Tc_fkbZVgE6WkK-uERxTPqzyw_5_2"/>
      <w:bookmarkStart w:id="1444" w:name="Tc_KItDy_BFHkqC4PkgQaIfmQ_5_0"/>
      <w:bookmarkStart w:id="1445" w:name="Tc_aDXXZcQZY0aBDC8DiHWJmA_4_0"/>
      <w:bookmarkStart w:id="1446" w:name="Tc_KJzkMUpE8EitC5oOLlruPw_3_8"/>
      <w:bookmarkStart w:id="1447" w:name="Tc_oZeo2xyKN0OJTN531tRJXg_3_5"/>
      <w:bookmarkStart w:id="1448" w:name="Tc_154gjx7JRkq7UhjkV2CKdA_3_2"/>
      <w:bookmarkStart w:id="1449" w:name="Tc_yqUamBjtskihP7stU_jbpA_3_0"/>
      <w:bookmarkStart w:id="1450" w:name="Tc_37o_2rTogkG9_kCB30vXgA_2_5"/>
      <w:bookmarkStart w:id="1451" w:name="Tc_4MtCfkKU6kGFWxH1I6vBFA_2_2"/>
      <w:bookmarkStart w:id="1452" w:name="Tc_4M99RUEw4E-xH8oglbqD9A_1_2"/>
      <w:bookmarkStart w:id="1453" w:name="_86f40383_d357_4a7a_a748_ee514a6f861a"/>
      <w:bookmarkStart w:id="1454" w:name="Tc_1HoZlEFCI0GZtjIfm0pkkA_8_8"/>
      <w:bookmarkStart w:id="1455" w:name="Tc_pmkiTnVfgE6rd4HKQMHXjQ_8_6"/>
      <w:bookmarkStart w:id="1456" w:name="Tc_SHwhjU3OAkCFhvfoQfVETQ_8_5"/>
      <w:bookmarkStart w:id="1457" w:name="Tc_mqkuuxyDTka0PntF7eZvMg_8_2"/>
      <w:bookmarkStart w:id="1458" w:name="Tc_ruxH_v_Feki3AojUnKJV6g_8_0"/>
      <w:bookmarkStart w:id="1459" w:name="Tc_XBLhH3UPCkew6M-55436Mw_7_8"/>
      <w:bookmarkStart w:id="1460" w:name="Tc_TnMdJuTwV0-4Nk4jTpfkvw_7_6"/>
      <w:bookmarkStart w:id="1461" w:name="Tc_4wx3V94PiEGkqICzX5bUzQ_7_5"/>
      <w:bookmarkStart w:id="1462" w:name="Tc_kS8AjmhE_0i5m41vctJ7pg_7_2"/>
      <w:bookmarkStart w:id="1463" w:name="Tc_DzaX-HxYTkKrhPNhV6CdXg_7_0"/>
      <w:bookmarkStart w:id="1464" w:name="Tc_gzsR2_-hhEmPCNoYpFyH3Q_6_0"/>
      <w:bookmarkStart w:id="1465" w:name="Tc_TYqgOjnh9E2NqOEsb3UZWg_5_8"/>
      <w:bookmarkStart w:id="1466" w:name="Tc_un9NpmHqTk-2tPF-cNcSZw_5_6"/>
      <w:bookmarkStart w:id="1467" w:name="Tc_2myZ5Qut6UqVYyBKQiofOQ_5_5"/>
      <w:bookmarkStart w:id="1468" w:name="Tc_e0wm7q3Uo0SbVKegDyMjCQ_5_3"/>
      <w:bookmarkStart w:id="1469" w:name="Tc_uGBDnY1Io0ybkJguFaVSwQ_5_2"/>
      <w:bookmarkStart w:id="1470" w:name="Tc_LqfZXJk2y06ST_tguCDg7Q_5_0"/>
      <w:bookmarkStart w:id="1471" w:name="Tc_Qkc1yBAL20-p_lutsVnKew_4_0"/>
      <w:bookmarkStart w:id="1472" w:name="Tc_qV2F9EU7qEGNJ-QpbhaPEw_3_8"/>
      <w:bookmarkStart w:id="1473" w:name="Tc_U-ibjPleI02yFN00fzL8gQ_3_5"/>
      <w:bookmarkStart w:id="1474" w:name="Tc_fl3ggZUIS0mcFJ_uCLruEQ_3_2"/>
      <w:bookmarkStart w:id="1475" w:name="Tc_qRw_2vmaBEyKfa1jiy5JGg_3_0"/>
      <w:bookmarkStart w:id="1476" w:name="Tc_tkEao1r9UkyYdBpbRAvLLQ_2_5"/>
      <w:bookmarkStart w:id="1477" w:name="Tc_ew0SOXpaPkisyvM0QyW_Gg_2_2"/>
      <w:bookmarkStart w:id="1478" w:name="Tc_bTQ4NZuYO0G1MAx-Isv0MA_1_2"/>
      <w:bookmarkStart w:id="1479" w:name="_24f86da8_a04d_4dec_90cf_d63fdf23a6e0"/>
      <w:bookmarkStart w:id="1480" w:name="Tc_K0epObrPsUugSwe8JwibHQ_5_8"/>
      <w:bookmarkStart w:id="1481" w:name="Tc_Mzld3UoceUCLtkOR2Lxvpw_5_7"/>
      <w:bookmarkStart w:id="1482" w:name="Tc_4QAm7BC5akqZw8uglR-ENQ_5_2"/>
      <w:bookmarkStart w:id="1483" w:name="Tc_1h4ynVk8S0SMGlSDcuK6ag_5_0"/>
      <w:bookmarkStart w:id="1484" w:name="Tc_kX-coil8m0C9Vmhz4suQ_Q_4_7"/>
      <w:bookmarkStart w:id="1485" w:name="Tc_Ngt_obuVIUyG3Q2cD1F8Ow_4_5"/>
      <w:bookmarkStart w:id="1486" w:name="Tc__Q-fO5AKK027DA1GXlYP_w_4_2"/>
      <w:bookmarkStart w:id="1487" w:name="Tc_mL-2bQmeXEiCecESHX3a3w_4_0"/>
      <w:bookmarkStart w:id="1488" w:name="Tc_54JbQK35d0iQLmFUBB_0Jg_3_7"/>
      <w:bookmarkStart w:id="1489" w:name="Tc_ey4AJJMbzUyV4KkeU9YqvQ_3_5"/>
      <w:bookmarkStart w:id="1490" w:name="Tc_eEHYnjPAiUiZH8cZRQtl0g_3_2"/>
      <w:bookmarkStart w:id="1491" w:name="Tc_V1dAaMIe_kqOdO2l846QCQ_3_0"/>
      <w:bookmarkStart w:id="1492" w:name="Tc_f6hZwH36bkCX5jNHPxiuxQ_2_7"/>
      <w:bookmarkStart w:id="1493" w:name="Tc_JQIYGtFXg0GfJesLnqiA6w_2_0"/>
      <w:bookmarkStart w:id="1494" w:name="Tc_QReWNS1NJUmY9qKWPO7o8A_1_0"/>
      <w:bookmarkStart w:id="1495" w:name="_52df4528_3cf7_4d45_a053_4f03c632f5c0"/>
      <w:bookmarkStart w:id="1496" w:name="Tc_rfAnolNh80-Rda9TEwuLIg_5_8"/>
      <w:bookmarkStart w:id="1497" w:name="Tc_SU1a669PDUW73Oe4t73WgQ_5_7"/>
      <w:bookmarkStart w:id="1498" w:name="Tc_nQ8dPNE1-EqlLfHKBWPjNw_5_2"/>
      <w:bookmarkStart w:id="1499" w:name="Tc_OxOsqW9MtEmbW8sHtBSaJA_5_0"/>
      <w:bookmarkStart w:id="1500" w:name="Tc_KfYOSjaHLUumCJzc5gl-zg_4_7"/>
      <w:bookmarkStart w:id="1501" w:name="Tc_jEUISbr5_EmXjkHWi2SkrQ_4_5"/>
      <w:bookmarkStart w:id="1502" w:name="Tc_9lKx8Mlvz0eBl51F_nQtrg_4_2"/>
      <w:bookmarkStart w:id="1503" w:name="Tc_6dIz1tyDV0akDw11VZkezA_4_0"/>
      <w:bookmarkStart w:id="1504" w:name="Tc_zK4vmkw8Ikuy_IJx4CxTyw_3_7"/>
      <w:bookmarkStart w:id="1505" w:name="Tc_yfC2VUS2MkSW6e0DzJ_jFQ_3_5"/>
      <w:bookmarkStart w:id="1506" w:name="Tc_ocEA6yybfkmmgZ_YEyarvw_3_2"/>
      <w:bookmarkStart w:id="1507" w:name="Tc_RlbzTm91QkyaFRN66fSRyA_3_0"/>
      <w:bookmarkStart w:id="1508" w:name="Tc_26aGoeDmt0mU7bV842H4wg_2_7"/>
      <w:bookmarkStart w:id="1509" w:name="Tc_s0CRVKVcx0qZEU2wLX0B2A_2_0"/>
      <w:bookmarkStart w:id="1510" w:name="Tc_BK51lVSJoEqlTbXmCj8KIQ_1_0"/>
      <w:bookmarkStart w:id="1511" w:name="_560133bd_5d71_4ecd_a182_7bfcd47d760d"/>
      <w:bookmarkStart w:id="1512" w:name="Tc_010ThCCDe0acgt3xR9Uhaw_7_8"/>
      <w:bookmarkStart w:id="1513" w:name="Tc_FHE3BHEXJE-RuLc9_YnQBQ_7_5"/>
      <w:bookmarkStart w:id="1514" w:name="Tc_ECceGeSWH0G-jROx50kNBQ_7_2"/>
      <w:bookmarkStart w:id="1515" w:name="Tc_V_loheEZo06plOcvJOrCqg_7_0"/>
      <w:bookmarkStart w:id="1516" w:name="Tc__ULPCbDWl0OiBZoHX5oGug_6_0"/>
      <w:bookmarkStart w:id="1517" w:name="Tc_klrPvzYys0Cz5VLYknuEcQ_5_8"/>
      <w:bookmarkStart w:id="1518" w:name="Tc_0L-qHTLPd0-OOTVtSxeecg_5_5"/>
      <w:bookmarkStart w:id="1519" w:name="Tc_fkbZVgE6WkK-uERxTPqzyw_5_2"/>
      <w:bookmarkStart w:id="1520" w:name="Tc_KItDy_BFHkqC4PkgQaIfmQ_5_0"/>
      <w:bookmarkStart w:id="1521" w:name="Tc_aDXXZcQZY0aBDC8DiHWJmA_4_0"/>
      <w:bookmarkStart w:id="1522" w:name="Tc_KJzkMUpE8EitC5oOLlruPw_3_8"/>
      <w:bookmarkStart w:id="1523" w:name="Tc_oZeo2xyKN0OJTN531tRJXg_3_5"/>
      <w:bookmarkStart w:id="1524" w:name="Tc_154gjx7JRkq7UhjkV2CKdA_3_2"/>
      <w:bookmarkStart w:id="1525" w:name="Tc_yqUamBjtskihP7stU_jbpA_3_0"/>
      <w:bookmarkStart w:id="1526" w:name="Tc_37o_2rTogkG9_kCB30vXgA_2_5"/>
      <w:bookmarkStart w:id="1527" w:name="Tc_4MtCfkKU6kGFWxH1I6vBFA_2_2"/>
      <w:bookmarkStart w:id="1528" w:name="Tc_4M99RUEw4E-xH8oglbqD9A_1_2"/>
      <w:bookmarkStart w:id="1529" w:name="_86f40383_d357_4a7a_a748_ee514a6f861a"/>
      <w:bookmarkStart w:id="1530" w:name="Tc_1HoZlEFCI0GZtjIfm0pkkA_8_8"/>
      <w:bookmarkStart w:id="1531" w:name="Tc_pmkiTnVfgE6rd4HKQMHXjQ_8_6"/>
      <w:bookmarkStart w:id="1532" w:name="Tc_SHwhjU3OAkCFhvfoQfVETQ_8_5"/>
      <w:bookmarkStart w:id="1533" w:name="Tc_mqkuuxyDTka0PntF7eZvMg_8_2"/>
      <w:bookmarkStart w:id="1534" w:name="Tc_ruxH_v_Feki3AojUnKJV6g_8_0"/>
      <w:bookmarkStart w:id="1535" w:name="Tc_XBLhH3UPCkew6M-55436Mw_7_8"/>
      <w:bookmarkStart w:id="1536" w:name="Tc_TnMdJuTwV0-4Nk4jTpfkvw_7_6"/>
      <w:bookmarkStart w:id="1537" w:name="Tc_4wx3V94PiEGkqICzX5bUzQ_7_5"/>
      <w:bookmarkStart w:id="1538" w:name="Tc_kS8AjmhE_0i5m41vctJ7pg_7_2"/>
      <w:bookmarkStart w:id="1539" w:name="Tc_DzaX-HxYTkKrhPNhV6CdXg_7_0"/>
      <w:bookmarkStart w:id="1540" w:name="Tc_gzsR2_-hhEmPCNoYpFyH3Q_6_0"/>
      <w:bookmarkStart w:id="1541" w:name="Tc_TYqgOjnh9E2NqOEsb3UZWg_5_8"/>
      <w:bookmarkStart w:id="1542" w:name="Tc_un9NpmHqTk-2tPF-cNcSZw_5_6"/>
      <w:bookmarkStart w:id="1543" w:name="Tc_2myZ5Qut6UqVYyBKQiofOQ_5_5"/>
      <w:bookmarkStart w:id="1544" w:name="Tc_e0wm7q3Uo0SbVKegDyMjCQ_5_3"/>
      <w:bookmarkStart w:id="1545" w:name="Tc_uGBDnY1Io0ybkJguFaVSwQ_5_2"/>
      <w:bookmarkStart w:id="1546" w:name="Tc_LqfZXJk2y06ST_tguCDg7Q_5_0"/>
      <w:bookmarkStart w:id="1547" w:name="Tc_Qkc1yBAL20-p_lutsVnKew_4_0"/>
      <w:bookmarkStart w:id="1548" w:name="Tc_qV2F9EU7qEGNJ-QpbhaPEw_3_8"/>
      <w:bookmarkStart w:id="1549" w:name="Tc_U-ibjPleI02yFN00fzL8gQ_3_5"/>
      <w:bookmarkStart w:id="1550" w:name="Tc_fl3ggZUIS0mcFJ_uCLruEQ_3_2"/>
      <w:bookmarkStart w:id="1551" w:name="Tc_qRw_2vmaBEyKfa1jiy5JGg_3_0"/>
      <w:bookmarkStart w:id="1552" w:name="Tc_tkEao1r9UkyYdBpbRAvLLQ_2_5"/>
      <w:bookmarkStart w:id="1553" w:name="Tc_ew0SOXpaPkisyvM0QyW_Gg_2_2"/>
      <w:bookmarkStart w:id="1554" w:name="Tc_bTQ4NZuYO0G1MAx-Isv0MA_1_2"/>
      <w:bookmarkStart w:id="1555" w:name="_24f86da8_a04d_4dec_90cf_d63fdf23a6e0"/>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p>
    <w:tbl>
      <w:tblPr>
        <w:tblW w:w="5417" w:type="dxa"/>
        <w:jc w:val="left"/>
        <w:tblInd w:w="0" w:type="dxa"/>
        <w:tblLayout w:type="fixed"/>
        <w:tblCellMar>
          <w:top w:w="0" w:type="dxa"/>
          <w:left w:w="0" w:type="dxa"/>
          <w:bottom w:w="0" w:type="dxa"/>
          <w:right w:w="0" w:type="dxa"/>
        </w:tblCellMar>
      </w:tblPr>
      <w:tblGrid>
        <w:gridCol w:w="271"/>
        <w:gridCol w:w="5146"/>
      </w:tblGrid>
      <w:tr>
        <w:trPr/>
        <w:tc>
          <w:tcPr>
            <w:tcW w:w="27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6.</w:t>
            </w:r>
          </w:p>
        </w:tc>
        <w:tc>
          <w:tcPr>
            <w:tcW w:w="514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DERIVATIVE INSTRUMENTS AND HEDGING ACTIVITIES</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accounts for its derivative instruments and hedging activities under ASC 815, “Derivatives and Hedging.” The following table presents the fair values of the Company’s derivative instruments:</w:t>
      </w:r>
    </w:p>
    <w:p>
      <w:pPr>
        <w:pStyle w:val="TextBody"/>
        <w:bidi w:val="0"/>
        <w:spacing w:before="0" w:after="0"/>
        <w:ind w:left="0" w:right="0" w:hanging="0"/>
        <w:jc w:val="center"/>
        <w:rPr/>
      </w:pPr>
      <w:r>
        <w:rPr/>
        <w:t>​</w:t>
      </w:r>
    </w:p>
    <w:tbl>
      <w:tblPr>
        <w:tblW w:w="9142" w:type="dxa"/>
        <w:jc w:val="left"/>
        <w:tblInd w:w="0" w:type="dxa"/>
        <w:tblLayout w:type="fixed"/>
        <w:tblCellMar>
          <w:top w:w="0" w:type="dxa"/>
          <w:left w:w="0" w:type="dxa"/>
          <w:bottom w:w="0" w:type="dxa"/>
          <w:right w:w="0" w:type="dxa"/>
        </w:tblCellMar>
      </w:tblPr>
      <w:tblGrid>
        <w:gridCol w:w="3901"/>
        <w:gridCol w:w="326"/>
        <w:gridCol w:w="211"/>
        <w:gridCol w:w="691"/>
        <w:gridCol w:w="326"/>
        <w:gridCol w:w="460"/>
        <w:gridCol w:w="755"/>
        <w:gridCol w:w="326"/>
        <w:gridCol w:w="2146"/>
      </w:tblGrid>
      <w:tr>
        <w:trPr/>
        <w:tc>
          <w:tcPr>
            <w:tcW w:w="3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07010" cy="175260"/>
                      <wp:effectExtent l="0" t="0" r="0" b="0"/>
                      <wp:wrapNone/>
                      <wp:docPr id="234" name="Frame2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33985" cy="175260"/>
                      <wp:effectExtent l="0" t="0" r="0" b="0"/>
                      <wp:wrapNone/>
                      <wp:docPr id="235" name="Frame2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438785" cy="175260"/>
                      <wp:effectExtent l="0" t="0" r="0" b="0"/>
                      <wp:wrapNone/>
                      <wp:docPr id="236" name="Frame23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07010" cy="175260"/>
                      <wp:effectExtent l="0" t="0" r="0" b="0"/>
                      <wp:wrapNone/>
                      <wp:docPr id="237" name="Frame2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92100" cy="175260"/>
                      <wp:effectExtent l="0" t="0" r="0" b="0"/>
                      <wp:wrapNone/>
                      <wp:docPr id="238" name="Frame238"/>
                      <a:graphic xmlns:a="http://schemas.openxmlformats.org/drawingml/2006/main">
                        <a:graphicData uri="http://schemas.microsoft.com/office/word/2010/wordprocessingShape">
                          <wps:wsp>
                            <wps:cNvSpPr txBox="1"/>
                            <wps:spPr>
                              <a:xfrm>
                                <a:off x="0" y="0"/>
                                <a:ext cx="292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479425" cy="175260"/>
                      <wp:effectExtent l="0" t="0" r="0" b="0"/>
                      <wp:wrapNone/>
                      <wp:docPr id="239" name="Frame239"/>
                      <a:graphic xmlns:a="http://schemas.openxmlformats.org/drawingml/2006/main">
                        <a:graphicData uri="http://schemas.microsoft.com/office/word/2010/wordprocessingShape">
                          <wps:wsp>
                            <wps:cNvSpPr txBox="1"/>
                            <wps:spPr>
                              <a:xfrm>
                                <a:off x="0" y="0"/>
                                <a:ext cx="479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07010" cy="175260"/>
                      <wp:effectExtent l="0" t="0" r="0" b="0"/>
                      <wp:wrapNone/>
                      <wp:docPr id="240" name="Frame2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362710" cy="175260"/>
                      <wp:effectExtent l="0" t="0" r="0" b="0"/>
                      <wp:wrapNone/>
                      <wp:docPr id="241" name="Frame241"/>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44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Fair value</w:t>
            </w:r>
          </w:p>
        </w:tc>
        <w:tc>
          <w:tcPr>
            <w:tcW w:w="326" w:type="dxa"/>
            <w:tcBorders/>
            <w:vAlign w:val="center"/>
          </w:tcPr>
          <w:p>
            <w:pPr>
              <w:pStyle w:val="TableContents"/>
              <w:bidi w:val="0"/>
              <w:spacing w:before="0" w:after="0"/>
              <w:ind w:left="0" w:right="0" w:hanging="0"/>
              <w:jc w:val="center"/>
              <w:rPr/>
            </w:pPr>
            <w:r>
              <w:rPr/>
              <w:t>    </w:t>
            </w:r>
          </w:p>
        </w:tc>
        <w:tc>
          <w:tcPr>
            <w:tcW w:w="2146" w:type="dxa"/>
            <w:tcBorders/>
            <w:vAlign w:val="center"/>
          </w:tcPr>
          <w:p>
            <w:pPr>
              <w:pStyle w:val="TableContents"/>
              <w:bidi w:val="0"/>
              <w:spacing w:before="0" w:after="0"/>
              <w:ind w:left="0" w:right="0" w:hanging="0"/>
              <w:jc w:val="center"/>
              <w:rPr/>
            </w:pPr>
            <w:r>
              <w:rPr/>
              <w:t>    </w:t>
            </w:r>
          </w:p>
        </w:tc>
      </w:tr>
      <w:tr>
        <w:trPr/>
        <w:tc>
          <w:tcPr>
            <w:tcW w:w="3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w:t>
            </w:r>
          </w:p>
        </w:tc>
        <w:tc>
          <w:tcPr>
            <w:tcW w:w="326" w:type="dxa"/>
            <w:tcBorders/>
            <w:vAlign w:val="center"/>
          </w:tcPr>
          <w:p>
            <w:pPr>
              <w:pStyle w:val="TableContents"/>
              <w:bidi w:val="0"/>
              <w:spacing w:before="0" w:after="0"/>
              <w:ind w:left="0" w:right="0" w:hanging="0"/>
              <w:jc w:val="center"/>
              <w:rPr/>
            </w:pPr>
            <w:r>
              <w:rPr/>
              <w:t>    </w:t>
            </w:r>
          </w:p>
        </w:tc>
        <w:tc>
          <w:tcPr>
            <w:tcW w:w="121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w:t>
            </w:r>
          </w:p>
        </w:tc>
        <w:tc>
          <w:tcPr>
            <w:tcW w:w="326" w:type="dxa"/>
            <w:tcBorders/>
            <w:vAlign w:val="center"/>
          </w:tcPr>
          <w:p>
            <w:pPr>
              <w:pStyle w:val="TableContents"/>
              <w:bidi w:val="0"/>
              <w:spacing w:before="0" w:after="0"/>
              <w:ind w:left="0" w:right="0" w:hanging="0"/>
              <w:jc w:val="center"/>
              <w:rPr/>
            </w:pPr>
            <w:r>
              <w:rPr/>
              <w:t>    </w:t>
            </w:r>
          </w:p>
        </w:tc>
        <w:tc>
          <w:tcPr>
            <w:tcW w:w="2146" w:type="dxa"/>
            <w:tcBorders/>
            <w:vAlign w:val="center"/>
          </w:tcPr>
          <w:p>
            <w:pPr>
              <w:pStyle w:val="TableContents"/>
              <w:bidi w:val="0"/>
              <w:spacing w:before="0" w:after="0"/>
              <w:ind w:left="0" w:right="0" w:hanging="0"/>
              <w:jc w:val="center"/>
              <w:rPr/>
            </w:pPr>
            <w:r>
              <w:rPr/>
              <w:t>​</w:t>
            </w:r>
          </w:p>
        </w:tc>
      </w:tr>
      <w:tr>
        <w:trPr/>
        <w:tc>
          <w:tcPr>
            <w:tcW w:w="3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Derivatives designated as hedging instruments</w:t>
            </w:r>
          </w:p>
        </w:tc>
        <w:tc>
          <w:tcPr>
            <w:tcW w:w="326" w:type="dxa"/>
            <w:tcBorders/>
            <w:vAlign w:val="center"/>
          </w:tcPr>
          <w:p>
            <w:pPr>
              <w:pStyle w:val="TableContents"/>
              <w:bidi w:val="0"/>
              <w:spacing w:before="0" w:after="0"/>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center"/>
              <w:rPr/>
            </w:pPr>
            <w:r>
              <w:rPr/>
              <w:t>​</w:t>
            </w:r>
          </w:p>
        </w:tc>
        <w:tc>
          <w:tcPr>
            <w:tcW w:w="12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c>
          <w:tcPr>
            <w:tcW w:w="326" w:type="dxa"/>
            <w:tcBorders/>
            <w:vAlign w:val="center"/>
          </w:tcPr>
          <w:p>
            <w:pPr>
              <w:pStyle w:val="TableContents"/>
              <w:bidi w:val="0"/>
              <w:spacing w:before="0" w:after="0"/>
              <w:ind w:left="0" w:right="0" w:hanging="0"/>
              <w:jc w:val="center"/>
              <w:rPr/>
            </w:pPr>
            <w:r>
              <w:rPr/>
              <w:t>​</w:t>
            </w:r>
          </w:p>
        </w:tc>
        <w:tc>
          <w:tcPr>
            <w:tcW w:w="21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Balance Sheet location</w:t>
            </w:r>
          </w:p>
        </w:tc>
      </w:tr>
      <w:tr>
        <w:trPr/>
        <w:tc>
          <w:tcPr>
            <w:tcW w:w="390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460" w:type="dxa"/>
            <w:tcBorders/>
            <w:shd w:fill="CCEEFF" w:val="clear"/>
            <w:vAlign w:val="center"/>
          </w:tcPr>
          <w:p>
            <w:pPr>
              <w:pStyle w:val="TableContents"/>
              <w:bidi w:val="0"/>
              <w:spacing w:before="0" w:after="0"/>
              <w:ind w:left="0" w:right="0" w:hanging="0"/>
              <w:jc w:val="left"/>
              <w:rPr/>
            </w:pPr>
            <w:r>
              <w:rPr/>
              <w:t>​</w:t>
            </w:r>
          </w:p>
        </w:tc>
        <w:tc>
          <w:tcPr>
            <w:tcW w:w="75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4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pPr>
            <w:r>
              <w:rPr/>
              <w:t>  </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Commodity contracts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460"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46" w:type="dxa"/>
            <w:tcBorders/>
            <w:shd w:fill="CCEEFF" w:val="clear"/>
            <w:vAlign w:val="center"/>
          </w:tcPr>
          <w:p>
            <w:pPr>
              <w:pStyle w:val="TableContents"/>
              <w:bidi w:val="0"/>
              <w:spacing w:before="0" w:after="0"/>
              <w:ind w:left="0" w:right="0" w:hanging="0"/>
              <w:jc w:val="right"/>
              <w:rPr/>
            </w:pPr>
            <w:r>
              <w:rPr/>
              <w:t>  </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Commodity contracts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(1,129)</w:t>
            </w:r>
          </w:p>
        </w:tc>
        <w:tc>
          <w:tcPr>
            <w:tcW w:w="326"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Commodity contracts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c>
          <w:tcPr>
            <w:tcW w:w="326" w:type="dxa"/>
            <w:tcBorders/>
            <w:shd w:fill="CCEEFF" w:val="clear"/>
            <w:vAlign w:val="center"/>
          </w:tcPr>
          <w:p>
            <w:pPr>
              <w:pStyle w:val="TableContents"/>
              <w:bidi w:val="0"/>
              <w:spacing w:before="0" w:after="0"/>
              <w:ind w:left="0" w:right="0" w:hanging="0"/>
              <w:jc w:val="left"/>
              <w:rPr/>
            </w:pPr>
            <w:r>
              <w:rPr/>
              <w:t>​</w:t>
            </w:r>
          </w:p>
        </w:tc>
        <w:tc>
          <w:tcPr>
            <w:tcW w:w="4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r>
    </w:tbl>
    <w:p>
      <w:pPr>
        <w:pStyle w:val="TextBody"/>
        <w:bidi w:val="0"/>
        <w:spacing w:before="0" w:after="0"/>
        <w:ind w:left="0" w:right="0" w:hanging="0"/>
        <w:jc w:val="center"/>
        <w:rPr/>
      </w:pPr>
      <w:r>
        <w:rPr/>
        <w:t>​</w:t>
      </w:r>
    </w:p>
    <w:tbl>
      <w:tblPr>
        <w:tblW w:w="9335" w:type="dxa"/>
        <w:jc w:val="left"/>
        <w:tblInd w:w="0" w:type="dxa"/>
        <w:tblLayout w:type="fixed"/>
        <w:tblCellMar>
          <w:top w:w="0" w:type="dxa"/>
          <w:left w:w="0" w:type="dxa"/>
          <w:bottom w:w="0" w:type="dxa"/>
          <w:right w:w="0" w:type="dxa"/>
        </w:tblCellMar>
      </w:tblPr>
      <w:tblGrid>
        <w:gridCol w:w="4216"/>
        <w:gridCol w:w="326"/>
        <w:gridCol w:w="259"/>
        <w:gridCol w:w="521"/>
        <w:gridCol w:w="326"/>
        <w:gridCol w:w="304"/>
        <w:gridCol w:w="911"/>
        <w:gridCol w:w="326"/>
        <w:gridCol w:w="2146"/>
      </w:tblGrid>
      <w:tr>
        <w:trPr/>
        <w:tc>
          <w:tcPr>
            <w:tcW w:w="42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07010" cy="175260"/>
                      <wp:effectExtent l="0" t="0" r="0" b="0"/>
                      <wp:wrapNone/>
                      <wp:docPr id="242" name="Frame2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64465" cy="175260"/>
                      <wp:effectExtent l="0" t="0" r="0" b="0"/>
                      <wp:wrapNone/>
                      <wp:docPr id="243" name="Frame243"/>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330835" cy="175260"/>
                      <wp:effectExtent l="0" t="0" r="0" b="0"/>
                      <wp:wrapNone/>
                      <wp:docPr id="244" name="Frame244"/>
                      <a:graphic xmlns:a="http://schemas.openxmlformats.org/drawingml/2006/main">
                        <a:graphicData uri="http://schemas.microsoft.com/office/word/2010/wordprocessingShape">
                          <wps:wsp>
                            <wps:cNvSpPr txBox="1"/>
                            <wps:spPr>
                              <a:xfrm>
                                <a:off x="0" y="0"/>
                                <a:ext cx="330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07010" cy="175260"/>
                      <wp:effectExtent l="0" t="0" r="0" b="0"/>
                      <wp:wrapNone/>
                      <wp:docPr id="245" name="Frame2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93040" cy="175260"/>
                      <wp:effectExtent l="0" t="0" r="0" b="0"/>
                      <wp:wrapNone/>
                      <wp:docPr id="246" name="Frame246"/>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578485" cy="175260"/>
                      <wp:effectExtent l="0" t="0" r="0" b="0"/>
                      <wp:wrapNone/>
                      <wp:docPr id="247" name="Frame247"/>
                      <a:graphic xmlns:a="http://schemas.openxmlformats.org/drawingml/2006/main">
                        <a:graphicData uri="http://schemas.microsoft.com/office/word/2010/wordprocessingShape">
                          <wps:wsp>
                            <wps:cNvSpPr txBox="1"/>
                            <wps:spPr>
                              <a:xfrm>
                                <a:off x="0" y="0"/>
                                <a:ext cx="57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07010" cy="175260"/>
                      <wp:effectExtent l="0" t="0" r="0" b="0"/>
                      <wp:wrapNone/>
                      <wp:docPr id="248" name="Frame2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362710" cy="175260"/>
                      <wp:effectExtent l="0" t="0" r="0" b="0"/>
                      <wp:wrapNone/>
                      <wp:docPr id="249" name="Frame249"/>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32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Fair value</w:t>
            </w:r>
          </w:p>
        </w:tc>
        <w:tc>
          <w:tcPr>
            <w:tcW w:w="326" w:type="dxa"/>
            <w:tcBorders/>
            <w:vAlign w:val="center"/>
          </w:tcPr>
          <w:p>
            <w:pPr>
              <w:pStyle w:val="TableContents"/>
              <w:bidi w:val="0"/>
              <w:spacing w:before="0" w:after="0"/>
              <w:ind w:left="0" w:right="0" w:hanging="0"/>
              <w:jc w:val="center"/>
              <w:rPr/>
            </w:pPr>
            <w:r>
              <w:rPr/>
              <w:t>    </w:t>
            </w:r>
          </w:p>
        </w:tc>
        <w:tc>
          <w:tcPr>
            <w:tcW w:w="2146" w:type="dxa"/>
            <w:tcBorders/>
            <w:vAlign w:val="center"/>
          </w:tcPr>
          <w:p>
            <w:pPr>
              <w:pStyle w:val="TableContents"/>
              <w:bidi w:val="0"/>
              <w:spacing w:before="0" w:after="0"/>
              <w:ind w:left="0" w:right="0" w:hanging="0"/>
              <w:jc w:val="center"/>
              <w:rPr/>
            </w:pPr>
            <w:r>
              <w:rPr/>
              <w:t>    </w:t>
            </w:r>
          </w:p>
        </w:tc>
      </w:tr>
      <w:tr>
        <w:trPr/>
        <w:tc>
          <w:tcPr>
            <w:tcW w:w="42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8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w:t>
            </w:r>
          </w:p>
        </w:tc>
        <w:tc>
          <w:tcPr>
            <w:tcW w:w="326" w:type="dxa"/>
            <w:tcBorders/>
            <w:vAlign w:val="center"/>
          </w:tcPr>
          <w:p>
            <w:pPr>
              <w:pStyle w:val="TableContents"/>
              <w:bidi w:val="0"/>
              <w:spacing w:before="0" w:after="0"/>
              <w:ind w:left="0" w:right="0" w:hanging="0"/>
              <w:jc w:val="center"/>
              <w:rPr/>
            </w:pPr>
            <w:r>
              <w:rPr/>
              <w:t>    </w:t>
            </w:r>
          </w:p>
        </w:tc>
        <w:tc>
          <w:tcPr>
            <w:tcW w:w="121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w:t>
            </w:r>
          </w:p>
        </w:tc>
        <w:tc>
          <w:tcPr>
            <w:tcW w:w="326" w:type="dxa"/>
            <w:tcBorders/>
            <w:vAlign w:val="center"/>
          </w:tcPr>
          <w:p>
            <w:pPr>
              <w:pStyle w:val="TableContents"/>
              <w:bidi w:val="0"/>
              <w:spacing w:before="0" w:after="0"/>
              <w:ind w:left="0" w:right="0" w:hanging="0"/>
              <w:jc w:val="center"/>
              <w:rPr/>
            </w:pPr>
            <w:r>
              <w:rPr/>
              <w:t>    </w:t>
            </w:r>
          </w:p>
        </w:tc>
        <w:tc>
          <w:tcPr>
            <w:tcW w:w="2146" w:type="dxa"/>
            <w:tcBorders/>
            <w:vAlign w:val="center"/>
          </w:tcPr>
          <w:p>
            <w:pPr>
              <w:pStyle w:val="TableContents"/>
              <w:bidi w:val="0"/>
              <w:spacing w:before="0" w:after="0"/>
              <w:ind w:left="0" w:right="0" w:hanging="0"/>
              <w:jc w:val="center"/>
              <w:rPr/>
            </w:pPr>
            <w:r>
              <w:rPr/>
              <w:t>​</w:t>
            </w:r>
          </w:p>
        </w:tc>
      </w:tr>
      <w:tr>
        <w:trPr/>
        <w:tc>
          <w:tcPr>
            <w:tcW w:w="42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Derivatives not designated as hedging instruments</w:t>
            </w:r>
          </w:p>
        </w:tc>
        <w:tc>
          <w:tcPr>
            <w:tcW w:w="326" w:type="dxa"/>
            <w:tcBorders/>
            <w:vAlign w:val="center"/>
          </w:tcPr>
          <w:p>
            <w:pPr>
              <w:pStyle w:val="TableContents"/>
              <w:bidi w:val="0"/>
              <w:spacing w:before="0" w:after="0"/>
              <w:ind w:left="0" w:right="0" w:hanging="0"/>
              <w:jc w:val="center"/>
              <w:rPr/>
            </w:pPr>
            <w:r>
              <w:rPr/>
              <w:t>​</w:t>
            </w:r>
          </w:p>
        </w:tc>
        <w:tc>
          <w:tcPr>
            <w:tcW w:w="7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center"/>
              <w:rPr/>
            </w:pPr>
            <w:r>
              <w:rPr/>
              <w:t>​</w:t>
            </w:r>
          </w:p>
        </w:tc>
        <w:tc>
          <w:tcPr>
            <w:tcW w:w="12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c>
          <w:tcPr>
            <w:tcW w:w="326" w:type="dxa"/>
            <w:tcBorders/>
            <w:vAlign w:val="center"/>
          </w:tcPr>
          <w:p>
            <w:pPr>
              <w:pStyle w:val="TableContents"/>
              <w:bidi w:val="0"/>
              <w:spacing w:before="0" w:after="0"/>
              <w:ind w:left="0" w:right="0" w:hanging="0"/>
              <w:jc w:val="center"/>
              <w:rPr/>
            </w:pPr>
            <w:r>
              <w:rPr/>
              <w:t>​</w:t>
            </w:r>
          </w:p>
        </w:tc>
        <w:tc>
          <w:tcPr>
            <w:tcW w:w="21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Balance Sheet location</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0"/>
              <w:ind w:left="0" w:right="0" w:hanging="0"/>
              <w:jc w:val="left"/>
              <w:rPr/>
            </w:pPr>
            <w:r>
              <w:rPr/>
              <w:t> </w:t>
            </w:r>
          </w:p>
        </w:tc>
        <w:tc>
          <w:tcPr>
            <w:tcW w:w="259" w:type="dxa"/>
            <w:tcBorders/>
            <w:shd w:fill="CCEEFF" w:val="clear"/>
            <w:vAlign w:val="center"/>
          </w:tcPr>
          <w:p>
            <w:pPr>
              <w:pStyle w:val="TableContents"/>
              <w:bidi w:val="0"/>
              <w:spacing w:before="0" w:after="0"/>
              <w:ind w:left="0" w:right="0" w:hanging="0"/>
              <w:jc w:val="left"/>
              <w:rPr/>
            </w:pPr>
            <w:r>
              <w:rPr/>
              <w:t>​</w:t>
            </w:r>
          </w:p>
        </w:tc>
        <w:tc>
          <w:tcPr>
            <w:tcW w:w="52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304" w:type="dxa"/>
            <w:tcBorders/>
            <w:shd w:fill="CCEEFF" w:val="clear"/>
            <w:vAlign w:val="center"/>
          </w:tcPr>
          <w:p>
            <w:pPr>
              <w:pStyle w:val="TableContents"/>
              <w:bidi w:val="0"/>
              <w:spacing w:before="0" w:after="0"/>
              <w:ind w:left="0" w:right="0" w:hanging="0"/>
              <w:jc w:val="left"/>
              <w:rPr/>
            </w:pPr>
            <w:r>
              <w:rPr/>
              <w:t>​</w:t>
            </w:r>
          </w:p>
        </w:tc>
        <w:tc>
          <w:tcPr>
            <w:tcW w:w="91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46" w:type="dxa"/>
            <w:tcBorders/>
            <w:shd w:fill="CCEEFF" w:val="clear"/>
            <w:vAlign w:val="center"/>
          </w:tcPr>
          <w:p>
            <w:pPr>
              <w:pStyle w:val="TableContents"/>
              <w:bidi w:val="0"/>
              <w:spacing w:before="0" w:after="0"/>
              <w:ind w:left="0" w:right="0" w:hanging="0"/>
              <w:jc w:val="right"/>
              <w:rPr/>
            </w:pPr>
            <w:r>
              <w:rPr/>
              <w:t>  </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exchange contracts</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32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965</w:t>
            </w:r>
          </w:p>
        </w:tc>
        <w:tc>
          <w:tcPr>
            <w:tcW w:w="326" w:type="dxa"/>
            <w:tcBorders/>
            <w:vAlign w:val="center"/>
          </w:tcPr>
          <w:p>
            <w:pPr>
              <w:pStyle w:val="TableContents"/>
              <w:bidi w:val="0"/>
              <w:spacing w:before="0" w:after="0"/>
              <w:ind w:left="0" w:right="0" w:hanging="0"/>
              <w:jc w:val="left"/>
              <w:rPr/>
            </w:pPr>
            <w:r>
              <w:rPr/>
              <w:t>​</w:t>
            </w:r>
          </w:p>
        </w:tc>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 </w:t>
            </w:r>
          </w:p>
        </w:tc>
        <w:tc>
          <w:tcPr>
            <w:tcW w:w="52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 </w:t>
            </w:r>
          </w:p>
        </w:tc>
        <w:tc>
          <w:tcPr>
            <w:tcW w:w="91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46" w:type="dxa"/>
            <w:tcBorders/>
            <w:shd w:fill="CCEEFF" w:val="clear"/>
            <w:vAlign w:val="center"/>
          </w:tcPr>
          <w:p>
            <w:pPr>
              <w:pStyle w:val="TableContents"/>
              <w:bidi w:val="0"/>
              <w:spacing w:before="0" w:after="0"/>
              <w:ind w:left="0" w:right="0" w:hanging="0"/>
              <w:jc w:val="right"/>
              <w:rPr/>
            </w:pPr>
            <w:r>
              <w:rPr/>
              <w:t>  </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exchange contracts</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32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(4,698)</w:t>
            </w:r>
          </w:p>
        </w:tc>
        <w:tc>
          <w:tcPr>
            <w:tcW w:w="326" w:type="dxa"/>
            <w:tcBorders/>
            <w:vAlign w:val="center"/>
          </w:tcPr>
          <w:p>
            <w:pPr>
              <w:pStyle w:val="TableContents"/>
              <w:bidi w:val="0"/>
              <w:spacing w:before="0" w:after="0"/>
              <w:ind w:left="0" w:right="0" w:hanging="0"/>
              <w:jc w:val="left"/>
              <w:rPr/>
            </w:pPr>
            <w:r>
              <w:rPr/>
              <w:t>​</w:t>
            </w:r>
          </w:p>
        </w:tc>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Cash Flow Hedging Strategy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uses cash flow hedges to minimize the variability in cash flows of forecasted transactions caused by fluctuations in commodity prices. The changes in the fair values of derivatives designated as cash flow hedges are recorded in accumulated other comprehensive income (loss) (“AOCI”) and are reclassified into the line item in our condensed consolidated statement of income in which the hedged items are recorded in the same period that the hedged items affect earnings. The changes in the fair values of hedges that are determined to be ineffective are immediately reclassified from AOCI into earnings. The maximum length of time for which the Company hedges its exposure to the variability in future cash flows is currently less than two years.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has entered into commodity hedge contracts to mitigate the price risk associated with a portion of its forecasted aluminum purchases. These derivative instruments were designated as part of the Company’s commodity cash flow hedging program. The objective of this hedging program is to reduce the variability of cash flows associated with future purchases of aluminum. The total notional values of derivatives that were designated and qualified for this program were $30.4 million as of June 30, 2023. Transactions under the commodity cash flow hedging program were executed beginning in May 2023.</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presents the impact that changes in the fair values of derivatives designated as cash flow hedges had on other comprehensive income (“OCI”), AOCI and earnings:</w:t>
      </w:r>
    </w:p>
    <w:p>
      <w:pPr>
        <w:pStyle w:val="TextBody"/>
        <w:bidi w:val="0"/>
        <w:spacing w:before="0" w:after="0"/>
        <w:ind w:left="0" w:right="0" w:hanging="0"/>
        <w:jc w:val="center"/>
        <w:rPr/>
      </w:pPr>
      <w:r>
        <w:rPr/>
        <w:t>​</w:t>
      </w:r>
    </w:p>
    <w:tbl>
      <w:tblPr>
        <w:tblW w:w="8347" w:type="dxa"/>
        <w:jc w:val="left"/>
        <w:tblInd w:w="0" w:type="dxa"/>
        <w:tblLayout w:type="fixed"/>
        <w:tblCellMar>
          <w:top w:w="0" w:type="dxa"/>
          <w:left w:w="0" w:type="dxa"/>
          <w:bottom w:w="0" w:type="dxa"/>
          <w:right w:w="0" w:type="dxa"/>
        </w:tblCellMar>
      </w:tblPr>
      <w:tblGrid>
        <w:gridCol w:w="1876"/>
        <w:gridCol w:w="326"/>
        <w:gridCol w:w="481"/>
        <w:gridCol w:w="1440"/>
        <w:gridCol w:w="326"/>
        <w:gridCol w:w="1936"/>
        <w:gridCol w:w="326"/>
        <w:gridCol w:w="520"/>
        <w:gridCol w:w="1116"/>
      </w:tblGrid>
      <w:tr>
        <w:trPr/>
        <w:tc>
          <w:tcPr>
            <w:tcW w:w="18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07010" cy="175260"/>
                      <wp:effectExtent l="0" t="0" r="0" b="0"/>
                      <wp:wrapNone/>
                      <wp:docPr id="250" name="Frame2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305435" cy="175260"/>
                      <wp:effectExtent l="0" t="0" r="0" b="0"/>
                      <wp:wrapNone/>
                      <wp:docPr id="251" name="Frame251"/>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914400" cy="175260"/>
                      <wp:effectExtent l="0" t="0" r="0" b="0"/>
                      <wp:wrapNone/>
                      <wp:docPr id="252" name="Frame252"/>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07010" cy="175260"/>
                      <wp:effectExtent l="0" t="0" r="0" b="0"/>
                      <wp:wrapNone/>
                      <wp:docPr id="253" name="Frame2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229360" cy="175260"/>
                      <wp:effectExtent l="0" t="0" r="0" b="0"/>
                      <wp:wrapNone/>
                      <wp:docPr id="254" name="Frame254"/>
                      <a:graphic xmlns:a="http://schemas.openxmlformats.org/drawingml/2006/main">
                        <a:graphicData uri="http://schemas.microsoft.com/office/word/2010/wordprocessingShape">
                          <wps:wsp>
                            <wps:cNvSpPr txBox="1"/>
                            <wps:spPr>
                              <a:xfrm>
                                <a:off x="0" y="0"/>
                                <a:ext cx="1229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07010" cy="175260"/>
                      <wp:effectExtent l="0" t="0" r="0" b="0"/>
                      <wp:wrapNone/>
                      <wp:docPr id="255" name="Frame2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330200" cy="175260"/>
                      <wp:effectExtent l="0" t="0" r="0" b="0"/>
                      <wp:wrapNone/>
                      <wp:docPr id="256" name="Frame256"/>
                      <a:graphic xmlns:a="http://schemas.openxmlformats.org/drawingml/2006/main">
                        <a:graphicData uri="http://schemas.microsoft.com/office/word/2010/wordprocessingShape">
                          <wps:wsp>
                            <wps:cNvSpPr txBox="1"/>
                            <wps:spPr>
                              <a:xfrm>
                                <a:off x="0" y="0"/>
                                <a:ext cx="330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708660" cy="175260"/>
                      <wp:effectExtent l="0" t="0" r="0" b="0"/>
                      <wp:wrapNone/>
                      <wp:docPr id="257" name="Frame257"/>
                      <a:graphic xmlns:a="http://schemas.openxmlformats.org/drawingml/2006/main">
                        <a:graphicData uri="http://schemas.microsoft.com/office/word/2010/wordprocessingShape">
                          <wps:wsp>
                            <wps:cNvSpPr txBox="1"/>
                            <wps:spPr>
                              <a:xfrm>
                                <a:off x="0" y="0"/>
                                <a:ext cx="708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347"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 June 30, 2023</w:t>
            </w:r>
          </w:p>
        </w:tc>
      </w:tr>
      <w:tr>
        <w:trPr/>
        <w:tc>
          <w:tcPr>
            <w:tcW w:w="18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Derivatives</w:t>
            </w:r>
          </w:p>
        </w:tc>
        <w:tc>
          <w:tcPr>
            <w:tcW w:w="326" w:type="dxa"/>
            <w:tcBorders/>
            <w:vAlign w:val="center"/>
          </w:tcPr>
          <w:p>
            <w:pPr>
              <w:pStyle w:val="TableContents"/>
              <w:bidi w:val="0"/>
              <w:spacing w:before="0" w:after="0"/>
              <w:ind w:left="0" w:right="0" w:hanging="0"/>
              <w:jc w:val="center"/>
              <w:rPr/>
            </w:pPr>
            <w:r>
              <w:rPr/>
              <w:t>    </w:t>
            </w:r>
          </w:p>
        </w:tc>
        <w:tc>
          <w:tcPr>
            <w:tcW w:w="481" w:type="dxa"/>
            <w:tcBorders/>
            <w:vAlign w:val="center"/>
          </w:tcPr>
          <w:p>
            <w:pPr>
              <w:pStyle w:val="TableContents"/>
              <w:bidi w:val="0"/>
              <w:spacing w:before="0" w:after="0"/>
              <w:ind w:left="0" w:right="0" w:hanging="0"/>
              <w:jc w:val="center"/>
              <w:rPr/>
            </w:pPr>
            <w:r>
              <w:rPr/>
              <w:t>​</w:t>
            </w:r>
          </w:p>
        </w:tc>
        <w:tc>
          <w:tcPr>
            <w:tcW w:w="144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9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63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Gain (loss)</w:t>
            </w:r>
          </w:p>
        </w:tc>
      </w:tr>
      <w:tr>
        <w:trPr/>
        <w:tc>
          <w:tcPr>
            <w:tcW w:w="18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designated as </w:t>
            </w:r>
          </w:p>
        </w:tc>
        <w:tc>
          <w:tcPr>
            <w:tcW w:w="326" w:type="dxa"/>
            <w:tcBorders/>
            <w:vAlign w:val="center"/>
          </w:tcPr>
          <w:p>
            <w:pPr>
              <w:pStyle w:val="TableContents"/>
              <w:bidi w:val="0"/>
              <w:spacing w:before="0" w:after="0"/>
              <w:ind w:left="0" w:right="0" w:hanging="0"/>
              <w:jc w:val="center"/>
              <w:rPr/>
            </w:pPr>
            <w:r>
              <w:rPr/>
              <w:t>​</w:t>
            </w:r>
          </w:p>
        </w:tc>
        <w:tc>
          <w:tcPr>
            <w:tcW w:w="192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Gain (loss) recognized</w:t>
            </w:r>
          </w:p>
        </w:tc>
        <w:tc>
          <w:tcPr>
            <w:tcW w:w="326" w:type="dxa"/>
            <w:tcBorders/>
            <w:vAlign w:val="center"/>
          </w:tcPr>
          <w:p>
            <w:pPr>
              <w:pStyle w:val="TableContents"/>
              <w:bidi w:val="0"/>
              <w:spacing w:before="0" w:after="0"/>
              <w:ind w:left="0" w:right="0" w:hanging="0"/>
              <w:jc w:val="center"/>
              <w:rPr/>
            </w:pPr>
            <w:r>
              <w:rPr/>
              <w:t>​</w:t>
            </w:r>
          </w:p>
        </w:tc>
        <w:tc>
          <w:tcPr>
            <w:tcW w:w="19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Location of gain (loss)</w:t>
            </w:r>
          </w:p>
        </w:tc>
        <w:tc>
          <w:tcPr>
            <w:tcW w:w="326" w:type="dxa"/>
            <w:tcBorders/>
            <w:vAlign w:val="center"/>
          </w:tcPr>
          <w:p>
            <w:pPr>
              <w:pStyle w:val="TableContents"/>
              <w:bidi w:val="0"/>
              <w:spacing w:before="0" w:after="0"/>
              <w:ind w:left="0" w:right="0" w:hanging="0"/>
              <w:jc w:val="center"/>
              <w:rPr/>
            </w:pPr>
            <w:r>
              <w:rPr/>
              <w:t>​</w:t>
            </w:r>
          </w:p>
        </w:tc>
        <w:tc>
          <w:tcPr>
            <w:tcW w:w="163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reclassified from</w:t>
            </w:r>
          </w:p>
        </w:tc>
      </w:tr>
      <w:tr>
        <w:trPr/>
        <w:tc>
          <w:tcPr>
            <w:tcW w:w="18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hedging instruments</w:t>
            </w:r>
          </w:p>
        </w:tc>
        <w:tc>
          <w:tcPr>
            <w:tcW w:w="326" w:type="dxa"/>
            <w:tcBorders/>
            <w:vAlign w:val="center"/>
          </w:tcPr>
          <w:p>
            <w:pPr>
              <w:pStyle w:val="TableContents"/>
              <w:bidi w:val="0"/>
              <w:spacing w:before="0" w:after="0"/>
              <w:ind w:left="0" w:right="0" w:hanging="0"/>
              <w:jc w:val="center"/>
              <w:rPr/>
            </w:pPr>
            <w:r>
              <w:rPr/>
              <w:t>​</w:t>
            </w:r>
          </w:p>
        </w:tc>
        <w:tc>
          <w:tcPr>
            <w:tcW w:w="19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 AOCI</w:t>
            </w:r>
          </w:p>
        </w:tc>
        <w:tc>
          <w:tcPr>
            <w:tcW w:w="326" w:type="dxa"/>
            <w:tcBorders/>
            <w:vAlign w:val="center"/>
          </w:tcPr>
          <w:p>
            <w:pPr>
              <w:pStyle w:val="TableContents"/>
              <w:bidi w:val="0"/>
              <w:spacing w:before="0" w:after="0"/>
              <w:ind w:left="0" w:right="0" w:hanging="0"/>
              <w:jc w:val="center"/>
              <w:rPr/>
            </w:pPr>
            <w:r>
              <w:rPr/>
              <w:t>​</w:t>
            </w:r>
          </w:p>
        </w:tc>
        <w:tc>
          <w:tcPr>
            <w:tcW w:w="19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recognized in income</w:t>
            </w:r>
          </w:p>
        </w:tc>
        <w:tc>
          <w:tcPr>
            <w:tcW w:w="326" w:type="dxa"/>
            <w:tcBorders/>
            <w:vAlign w:val="center"/>
          </w:tcPr>
          <w:p>
            <w:pPr>
              <w:pStyle w:val="TableContents"/>
              <w:bidi w:val="0"/>
              <w:spacing w:before="0" w:after="0"/>
              <w:ind w:left="0" w:right="0" w:hanging="0"/>
              <w:jc w:val="center"/>
              <w:rPr/>
            </w:pPr>
            <w:r>
              <w:rPr/>
              <w:t>​</w:t>
            </w:r>
          </w:p>
        </w:tc>
        <w:tc>
          <w:tcPr>
            <w:tcW w:w="16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AOCI into income</w:t>
            </w:r>
          </w:p>
        </w:tc>
      </w:tr>
      <w:tr>
        <w:trPr/>
        <w:tc>
          <w:tcPr>
            <w:tcW w:w="1876"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Commodity contracts</w:t>
            </w:r>
          </w:p>
        </w:tc>
        <w:tc>
          <w:tcPr>
            <w:tcW w:w="326" w:type="dxa"/>
            <w:tcBorders/>
            <w:shd w:fill="CCEEFF" w:val="clear"/>
            <w:vAlign w:val="center"/>
          </w:tcPr>
          <w:p>
            <w:pPr>
              <w:pStyle w:val="TableContents"/>
              <w:bidi w:val="0"/>
              <w:spacing w:before="0" w:after="0"/>
              <w:ind w:left="0" w:right="0" w:hanging="0"/>
              <w:jc w:val="left"/>
              <w:rPr/>
            </w:pPr>
            <w:r>
              <w:rPr/>
              <w:t>​</w:t>
            </w:r>
          </w:p>
        </w:tc>
        <w:tc>
          <w:tcPr>
            <w:tcW w:w="4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(1,266)</w:t>
            </w:r>
          </w:p>
        </w:tc>
        <w:tc>
          <w:tcPr>
            <w:tcW w:w="326" w:type="dxa"/>
            <w:tcBorders/>
            <w:shd w:fill="CCEEFF" w:val="clear"/>
            <w:vAlign w:val="center"/>
          </w:tcPr>
          <w:p>
            <w:pPr>
              <w:pStyle w:val="TableContents"/>
              <w:bidi w:val="0"/>
              <w:spacing w:before="0" w:after="0"/>
              <w:ind w:left="0" w:right="0" w:hanging="0"/>
              <w:jc w:val="left"/>
              <w:rPr/>
            </w:pPr>
            <w:r>
              <w:rPr/>
              <w:t> </w:t>
            </w:r>
          </w:p>
        </w:tc>
        <w:tc>
          <w:tcPr>
            <w:tcW w:w="1936"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w:t>
            </w:r>
          </w:p>
        </w:tc>
        <w:tc>
          <w:tcPr>
            <w:tcW w:w="326" w:type="dxa"/>
            <w:tcBorders/>
            <w:shd w:fill="CCEEFF" w:val="clear"/>
            <w:vAlign w:val="center"/>
          </w:tcPr>
          <w:p>
            <w:pPr>
              <w:pStyle w:val="TableContents"/>
              <w:bidi w:val="0"/>
              <w:spacing w:before="0" w:after="0"/>
              <w:ind w:left="0" w:right="0" w:hanging="0"/>
              <w:jc w:val="left"/>
              <w:rPr/>
            </w:pPr>
            <w:r>
              <w:rPr/>
              <w:t>​</w:t>
            </w:r>
          </w:p>
        </w:tc>
        <w:tc>
          <w:tcPr>
            <w:tcW w:w="5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center"/>
        <w:rPr/>
      </w:pPr>
      <w:r>
        <w:rPr/>
        <w:t>​</w:t>
      </w:r>
    </w:p>
    <w:tbl>
      <w:tblPr>
        <w:tblW w:w="8347" w:type="dxa"/>
        <w:jc w:val="left"/>
        <w:tblInd w:w="0" w:type="dxa"/>
        <w:tblLayout w:type="fixed"/>
        <w:tblCellMar>
          <w:top w:w="0" w:type="dxa"/>
          <w:left w:w="0" w:type="dxa"/>
          <w:bottom w:w="0" w:type="dxa"/>
          <w:right w:w="0" w:type="dxa"/>
        </w:tblCellMar>
      </w:tblPr>
      <w:tblGrid>
        <w:gridCol w:w="1876"/>
        <w:gridCol w:w="326"/>
        <w:gridCol w:w="481"/>
        <w:gridCol w:w="1440"/>
        <w:gridCol w:w="326"/>
        <w:gridCol w:w="1936"/>
        <w:gridCol w:w="326"/>
        <w:gridCol w:w="520"/>
        <w:gridCol w:w="1116"/>
      </w:tblGrid>
      <w:tr>
        <w:trPr/>
        <w:tc>
          <w:tcPr>
            <w:tcW w:w="18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07010" cy="175260"/>
                      <wp:effectExtent l="0" t="0" r="0" b="0"/>
                      <wp:wrapNone/>
                      <wp:docPr id="258" name="Frame2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305435" cy="175260"/>
                      <wp:effectExtent l="0" t="0" r="0" b="0"/>
                      <wp:wrapNone/>
                      <wp:docPr id="259" name="Frame259"/>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914400" cy="175260"/>
                      <wp:effectExtent l="0" t="0" r="0" b="0"/>
                      <wp:wrapNone/>
                      <wp:docPr id="260" name="Frame260"/>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07010" cy="175260"/>
                      <wp:effectExtent l="0" t="0" r="0" b="0"/>
                      <wp:wrapNone/>
                      <wp:docPr id="261" name="Frame2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229360" cy="175260"/>
                      <wp:effectExtent l="0" t="0" r="0" b="0"/>
                      <wp:wrapNone/>
                      <wp:docPr id="262" name="Frame262"/>
                      <a:graphic xmlns:a="http://schemas.openxmlformats.org/drawingml/2006/main">
                        <a:graphicData uri="http://schemas.microsoft.com/office/word/2010/wordprocessingShape">
                          <wps:wsp>
                            <wps:cNvSpPr txBox="1"/>
                            <wps:spPr>
                              <a:xfrm>
                                <a:off x="0" y="0"/>
                                <a:ext cx="1229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07010" cy="175260"/>
                      <wp:effectExtent l="0" t="0" r="0" b="0"/>
                      <wp:wrapNone/>
                      <wp:docPr id="263" name="Frame2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330200" cy="175260"/>
                      <wp:effectExtent l="0" t="0" r="0" b="0"/>
                      <wp:wrapNone/>
                      <wp:docPr id="264" name="Frame264"/>
                      <a:graphic xmlns:a="http://schemas.openxmlformats.org/drawingml/2006/main">
                        <a:graphicData uri="http://schemas.microsoft.com/office/word/2010/wordprocessingShape">
                          <wps:wsp>
                            <wps:cNvSpPr txBox="1"/>
                            <wps:spPr>
                              <a:xfrm>
                                <a:off x="0" y="0"/>
                                <a:ext cx="330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708660" cy="175260"/>
                      <wp:effectExtent l="0" t="0" r="0" b="0"/>
                      <wp:wrapNone/>
                      <wp:docPr id="265" name="Frame265"/>
                      <a:graphic xmlns:a="http://schemas.openxmlformats.org/drawingml/2006/main">
                        <a:graphicData uri="http://schemas.microsoft.com/office/word/2010/wordprocessingShape">
                          <wps:wsp>
                            <wps:cNvSpPr txBox="1"/>
                            <wps:spPr>
                              <a:xfrm>
                                <a:off x="0" y="0"/>
                                <a:ext cx="708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347"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Six-months ended June 30, 2023</w:t>
            </w:r>
          </w:p>
        </w:tc>
      </w:tr>
      <w:tr>
        <w:trPr/>
        <w:tc>
          <w:tcPr>
            <w:tcW w:w="18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Derivatives</w:t>
            </w:r>
          </w:p>
        </w:tc>
        <w:tc>
          <w:tcPr>
            <w:tcW w:w="326" w:type="dxa"/>
            <w:tcBorders/>
            <w:vAlign w:val="center"/>
          </w:tcPr>
          <w:p>
            <w:pPr>
              <w:pStyle w:val="TableContents"/>
              <w:bidi w:val="0"/>
              <w:spacing w:before="0" w:after="0"/>
              <w:ind w:left="0" w:right="0" w:hanging="0"/>
              <w:jc w:val="center"/>
              <w:rPr/>
            </w:pPr>
            <w:r>
              <w:rPr/>
              <w:t>    </w:t>
            </w:r>
          </w:p>
        </w:tc>
        <w:tc>
          <w:tcPr>
            <w:tcW w:w="481" w:type="dxa"/>
            <w:tcBorders/>
            <w:vAlign w:val="center"/>
          </w:tcPr>
          <w:p>
            <w:pPr>
              <w:pStyle w:val="TableContents"/>
              <w:bidi w:val="0"/>
              <w:spacing w:before="0" w:after="0"/>
              <w:ind w:left="0" w:right="0" w:hanging="0"/>
              <w:jc w:val="center"/>
              <w:rPr/>
            </w:pPr>
            <w:r>
              <w:rPr/>
              <w:t>​</w:t>
            </w:r>
          </w:p>
        </w:tc>
        <w:tc>
          <w:tcPr>
            <w:tcW w:w="144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9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63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Gain (loss)</w:t>
            </w:r>
          </w:p>
        </w:tc>
      </w:tr>
      <w:tr>
        <w:trPr/>
        <w:tc>
          <w:tcPr>
            <w:tcW w:w="18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designated as </w:t>
            </w:r>
          </w:p>
        </w:tc>
        <w:tc>
          <w:tcPr>
            <w:tcW w:w="326" w:type="dxa"/>
            <w:tcBorders/>
            <w:vAlign w:val="center"/>
          </w:tcPr>
          <w:p>
            <w:pPr>
              <w:pStyle w:val="TableContents"/>
              <w:bidi w:val="0"/>
              <w:spacing w:before="0" w:after="0"/>
              <w:ind w:left="0" w:right="0" w:hanging="0"/>
              <w:jc w:val="center"/>
              <w:rPr/>
            </w:pPr>
            <w:r>
              <w:rPr/>
              <w:t>​</w:t>
            </w:r>
          </w:p>
        </w:tc>
        <w:tc>
          <w:tcPr>
            <w:tcW w:w="192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Gain (loss) recognized</w:t>
            </w:r>
          </w:p>
        </w:tc>
        <w:tc>
          <w:tcPr>
            <w:tcW w:w="326" w:type="dxa"/>
            <w:tcBorders/>
            <w:vAlign w:val="center"/>
          </w:tcPr>
          <w:p>
            <w:pPr>
              <w:pStyle w:val="TableContents"/>
              <w:bidi w:val="0"/>
              <w:spacing w:before="0" w:after="0"/>
              <w:ind w:left="0" w:right="0" w:hanging="0"/>
              <w:jc w:val="center"/>
              <w:rPr/>
            </w:pPr>
            <w:r>
              <w:rPr/>
              <w:t>​</w:t>
            </w:r>
          </w:p>
        </w:tc>
        <w:tc>
          <w:tcPr>
            <w:tcW w:w="19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Location of gain (loss)</w:t>
            </w:r>
          </w:p>
        </w:tc>
        <w:tc>
          <w:tcPr>
            <w:tcW w:w="326" w:type="dxa"/>
            <w:tcBorders/>
            <w:vAlign w:val="center"/>
          </w:tcPr>
          <w:p>
            <w:pPr>
              <w:pStyle w:val="TableContents"/>
              <w:bidi w:val="0"/>
              <w:spacing w:before="0" w:after="0"/>
              <w:ind w:left="0" w:right="0" w:hanging="0"/>
              <w:jc w:val="center"/>
              <w:rPr/>
            </w:pPr>
            <w:r>
              <w:rPr/>
              <w:t>​</w:t>
            </w:r>
          </w:p>
        </w:tc>
        <w:tc>
          <w:tcPr>
            <w:tcW w:w="163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reclassified from</w:t>
            </w:r>
          </w:p>
        </w:tc>
      </w:tr>
      <w:tr>
        <w:trPr/>
        <w:tc>
          <w:tcPr>
            <w:tcW w:w="18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hedging instruments</w:t>
            </w:r>
          </w:p>
        </w:tc>
        <w:tc>
          <w:tcPr>
            <w:tcW w:w="326" w:type="dxa"/>
            <w:tcBorders/>
            <w:vAlign w:val="center"/>
          </w:tcPr>
          <w:p>
            <w:pPr>
              <w:pStyle w:val="TableContents"/>
              <w:bidi w:val="0"/>
              <w:spacing w:before="0" w:after="0"/>
              <w:ind w:left="0" w:right="0" w:hanging="0"/>
              <w:jc w:val="center"/>
              <w:rPr/>
            </w:pPr>
            <w:r>
              <w:rPr/>
              <w:t>​</w:t>
            </w:r>
          </w:p>
        </w:tc>
        <w:tc>
          <w:tcPr>
            <w:tcW w:w="19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 AOCI</w:t>
            </w:r>
          </w:p>
        </w:tc>
        <w:tc>
          <w:tcPr>
            <w:tcW w:w="326" w:type="dxa"/>
            <w:tcBorders/>
            <w:vAlign w:val="center"/>
          </w:tcPr>
          <w:p>
            <w:pPr>
              <w:pStyle w:val="TableContents"/>
              <w:bidi w:val="0"/>
              <w:spacing w:before="0" w:after="0"/>
              <w:ind w:left="0" w:right="0" w:hanging="0"/>
              <w:jc w:val="center"/>
              <w:rPr/>
            </w:pPr>
            <w:r>
              <w:rPr/>
              <w:t>​</w:t>
            </w:r>
          </w:p>
        </w:tc>
        <w:tc>
          <w:tcPr>
            <w:tcW w:w="19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recognized in income</w:t>
            </w:r>
          </w:p>
        </w:tc>
        <w:tc>
          <w:tcPr>
            <w:tcW w:w="326" w:type="dxa"/>
            <w:tcBorders/>
            <w:vAlign w:val="center"/>
          </w:tcPr>
          <w:p>
            <w:pPr>
              <w:pStyle w:val="TableContents"/>
              <w:bidi w:val="0"/>
              <w:spacing w:before="0" w:after="0"/>
              <w:ind w:left="0" w:right="0" w:hanging="0"/>
              <w:jc w:val="center"/>
              <w:rPr/>
            </w:pPr>
            <w:r>
              <w:rPr/>
              <w:t>​</w:t>
            </w:r>
          </w:p>
        </w:tc>
        <w:tc>
          <w:tcPr>
            <w:tcW w:w="16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AOCI into income</w:t>
            </w:r>
          </w:p>
        </w:tc>
      </w:tr>
      <w:tr>
        <w:trPr/>
        <w:tc>
          <w:tcPr>
            <w:tcW w:w="1876"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Commodity contracts</w:t>
            </w:r>
          </w:p>
        </w:tc>
        <w:tc>
          <w:tcPr>
            <w:tcW w:w="326" w:type="dxa"/>
            <w:tcBorders/>
            <w:shd w:fill="CCEEFF" w:val="clear"/>
            <w:vAlign w:val="center"/>
          </w:tcPr>
          <w:p>
            <w:pPr>
              <w:pStyle w:val="TableContents"/>
              <w:bidi w:val="0"/>
              <w:spacing w:before="0" w:after="0"/>
              <w:ind w:left="0" w:right="0" w:hanging="0"/>
              <w:jc w:val="left"/>
              <w:rPr/>
            </w:pPr>
            <w:r>
              <w:rPr/>
              <w:t>​</w:t>
            </w:r>
          </w:p>
        </w:tc>
        <w:tc>
          <w:tcPr>
            <w:tcW w:w="4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(1,266)</w:t>
            </w:r>
          </w:p>
        </w:tc>
        <w:tc>
          <w:tcPr>
            <w:tcW w:w="326" w:type="dxa"/>
            <w:tcBorders/>
            <w:shd w:fill="CCEEFF" w:val="clear"/>
            <w:vAlign w:val="center"/>
          </w:tcPr>
          <w:p>
            <w:pPr>
              <w:pStyle w:val="TableContents"/>
              <w:bidi w:val="0"/>
              <w:spacing w:before="0" w:after="0"/>
              <w:ind w:left="0" w:right="0" w:hanging="0"/>
              <w:jc w:val="left"/>
              <w:rPr/>
            </w:pPr>
            <w:r>
              <w:rPr/>
              <w:t> </w:t>
            </w:r>
          </w:p>
        </w:tc>
        <w:tc>
          <w:tcPr>
            <w:tcW w:w="1936"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w:t>
            </w:r>
          </w:p>
        </w:tc>
        <w:tc>
          <w:tcPr>
            <w:tcW w:w="326" w:type="dxa"/>
            <w:tcBorders/>
            <w:shd w:fill="CCEEFF" w:val="clear"/>
            <w:vAlign w:val="center"/>
          </w:tcPr>
          <w:p>
            <w:pPr>
              <w:pStyle w:val="TableContents"/>
              <w:bidi w:val="0"/>
              <w:spacing w:before="0" w:after="0"/>
              <w:ind w:left="0" w:right="0" w:hanging="0"/>
              <w:jc w:val="left"/>
              <w:rPr/>
            </w:pPr>
            <w:r>
              <w:rPr/>
              <w:t>​</w:t>
            </w:r>
          </w:p>
        </w:tc>
        <w:tc>
          <w:tcPr>
            <w:tcW w:w="5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bookmarkStart w:id="1556" w:name="Tc_A3YqJqW6hEqHn4yD1OupyQ_7_7"/>
      <w:bookmarkStart w:id="1557" w:name="Tc_80lKJhSPGk6f3HAgYFyS9g_7_4"/>
      <w:bookmarkStart w:id="1558" w:name="Tc_P5AlStsxzkahpDtFgHh80Q_7_0"/>
      <w:bookmarkStart w:id="1559" w:name="Tc_PYuxgS7xnEWzDcXcM3hI8g_6_7"/>
      <w:bookmarkStart w:id="1560" w:name="Tc_sNEczFV-WEWCT8FqOk_Y0Q_6_4"/>
      <w:bookmarkStart w:id="1561" w:name="Tc_X5pi3NZKN0CSJmiziLoiHA_6_2"/>
      <w:bookmarkStart w:id="1562" w:name="Tc_Z6qdsaDWOEWl5joXf2toGQ_6_0"/>
      <w:bookmarkStart w:id="1563" w:name="Tc_LpVtxzGvWUijqyaBwbsnLA_5_7"/>
      <w:bookmarkStart w:id="1564" w:name="Tc_cpjLo-AWskyBx5YEEeKeAw_5_4"/>
      <w:bookmarkStart w:id="1565" w:name="Tc_U7aYiqKVf0CMbyrhzRSAsg_5_2"/>
      <w:bookmarkStart w:id="1566" w:name="Tc_hjQ6Z_8ebUegO_P5LViZ3w_5_0"/>
      <w:bookmarkStart w:id="1567" w:name="Tc_UHjpqkf5kkyBASU5r__qWQ_4_4"/>
      <w:bookmarkStart w:id="1568" w:name="Tc_yfZp450l6UKpL-Y-DNyMZw_3_4"/>
      <w:bookmarkStart w:id="1569" w:name="Tc_GrlHtHX0qkCq0OK3aGiHFg_2_4"/>
      <w:bookmarkStart w:id="1570" w:name="Tc_N-DDaKYCFkOXEOxeWiHiJA_1_4"/>
      <w:bookmarkStart w:id="1571" w:name="_1eed10cd_b80d_495a_b86d_08082634e532"/>
      <w:bookmarkStart w:id="1572" w:name="Tc_f0nk_5SuyEqffVwo6yZh_A_7_7"/>
      <w:bookmarkStart w:id="1573" w:name="Tc_y6ibmcr6nEyx9Zu63uuuEA_7_4"/>
      <w:bookmarkStart w:id="1574" w:name="Tc_VGosGavL60iGW2jMehmUTQ_7_0"/>
      <w:bookmarkStart w:id="1575" w:name="Tc_DIcO6kLKDEam4ASpLVQseA_6_7"/>
      <w:bookmarkStart w:id="1576" w:name="Tc_jlK6P1QQRUuoKZHYSgC5sQ_6_4"/>
      <w:bookmarkStart w:id="1577" w:name="Tc_IV7bS0Nx9U614OgTe0WftQ_6_2"/>
      <w:bookmarkStart w:id="1578" w:name="Tc_j4vjN62e4EaJnhr6MlUuIA_6_0"/>
      <w:bookmarkStart w:id="1579" w:name="Tc_0TWSXorHQEK_RaBwM1k9KA_5_7"/>
      <w:bookmarkStart w:id="1580" w:name="Tc_OVBNHBnmOUqOiAwyXUcaXw_5_4"/>
      <w:bookmarkStart w:id="1581" w:name="Tc_QUrCIE1XNEiF8YokYtJC6g_5_2"/>
      <w:bookmarkStart w:id="1582" w:name="Tc_6hj0RjJfvUWZam7gMeyR-Q_5_0"/>
      <w:bookmarkStart w:id="1583" w:name="Tc_zh93xFuEdkqADNVunlpeew_4_4"/>
      <w:bookmarkStart w:id="1584" w:name="Tc_I_xJcGoJQEmQMRrg9juzIQ_3_4"/>
      <w:bookmarkStart w:id="1585" w:name="Tc_3IcH6g6_DEOS46U4vL6bOg_2_4"/>
      <w:bookmarkStart w:id="1586" w:name="Tc_ExGoHdtvn0GgKtGFG6cI2A_1_4"/>
      <w:bookmarkStart w:id="1587" w:name="_ff755a88_bc32_47da_a02e_2e7c5e7915e3"/>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r>
        <w:rPr>
          <w:rFonts w:ascii="Times New Roman;Times;serif" w:hAnsi="Times New Roman;Times;serif"/>
          <w:sz w:val="20"/>
        </w:rPr>
        <w:t>As of June 30, 2023, the Company estimates that it will reclassify into earnings net gains (losses) of ($1.0) million from the amount recorded in AOCI as the anticipated cash flows occur during the next 12 months.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Economic (Non-Designated) Hedging Strategy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is exposed to foreign currency exchange rate risks related primarily to its foreign business operations. During the six-months ended June 30, 2023 and the year-ended December 31, 2022, the Company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of the Company that were outstanding as of June 30, 2023 have terms of one month or less. The Company does not enter into forward currency exchange contracts for speculation or trading purposes.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 has not designated its foreign currency exchange contracts as hedge transactions. Therefore, gains and losses on the Company’s foreign currency exchange contracts are recognized in interest and other income (expense), net, in the condensed consolidated statements of income, and are largely offset by the changes in the fair value of the underlying economically hedged item. The total notional values of derivatives related to our foreign currency economic hedges were $176.0 million and $299.8 million as of June 30, 2023 and December 31, 2022, respectively.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net gains (losses) on derivatives not designated as hedging instruments in the condensed consolidated statements of income were as follows:</w:t>
      </w:r>
    </w:p>
    <w:p>
      <w:pPr>
        <w:pStyle w:val="TextBody"/>
        <w:bidi w:val="0"/>
        <w:spacing w:before="0" w:after="0"/>
        <w:ind w:left="0" w:right="0" w:firstLine="720"/>
        <w:jc w:val="both"/>
        <w:rPr/>
      </w:pPr>
      <w:r>
        <w:rPr/>
        <w:t>​</w:t>
      </w:r>
    </w:p>
    <w:tbl>
      <w:tblPr>
        <w:tblW w:w="8853" w:type="dxa"/>
        <w:jc w:val="left"/>
        <w:tblInd w:w="0" w:type="dxa"/>
        <w:tblLayout w:type="fixed"/>
        <w:tblCellMar>
          <w:top w:w="0" w:type="dxa"/>
          <w:left w:w="0" w:type="dxa"/>
          <w:bottom w:w="0" w:type="dxa"/>
          <w:right w:w="0" w:type="dxa"/>
        </w:tblCellMar>
      </w:tblPr>
      <w:tblGrid>
        <w:gridCol w:w="3106"/>
        <w:gridCol w:w="146"/>
        <w:gridCol w:w="3331"/>
        <w:gridCol w:w="109"/>
        <w:gridCol w:w="270"/>
        <w:gridCol w:w="807"/>
        <w:gridCol w:w="139"/>
        <w:gridCol w:w="270"/>
        <w:gridCol w:w="675"/>
      </w:tblGrid>
      <w:tr>
        <w:trPr/>
        <w:tc>
          <w:tcPr>
            <w:tcW w:w="310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92710" cy="175260"/>
                      <wp:effectExtent l="0" t="0" r="0" b="0"/>
                      <wp:wrapNone/>
                      <wp:docPr id="266" name="Frame26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115185" cy="175260"/>
                      <wp:effectExtent l="0" t="0" r="0" b="0"/>
                      <wp:wrapNone/>
                      <wp:docPr id="267" name="Frame267"/>
                      <a:graphic xmlns:a="http://schemas.openxmlformats.org/drawingml/2006/main">
                        <a:graphicData uri="http://schemas.microsoft.com/office/word/2010/wordprocessingShape">
                          <wps:wsp>
                            <wps:cNvSpPr txBox="1"/>
                            <wps:spPr>
                              <a:xfrm>
                                <a:off x="0" y="0"/>
                                <a:ext cx="2115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9215" cy="175260"/>
                      <wp:effectExtent l="0" t="0" r="0" b="0"/>
                      <wp:wrapNone/>
                      <wp:docPr id="268" name="Frame2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71450" cy="175260"/>
                      <wp:effectExtent l="0" t="0" r="0" b="0"/>
                      <wp:wrapNone/>
                      <wp:docPr id="269" name="Frame269"/>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512445" cy="175260"/>
                      <wp:effectExtent l="0" t="0" r="0" b="0"/>
                      <wp:wrapNone/>
                      <wp:docPr id="270" name="Frame270"/>
                      <a:graphic xmlns:a="http://schemas.openxmlformats.org/drawingml/2006/main">
                        <a:graphicData uri="http://schemas.microsoft.com/office/word/2010/wordprocessingShape">
                          <wps:wsp>
                            <wps:cNvSpPr txBox="1"/>
                            <wps:spPr>
                              <a:xfrm>
                                <a:off x="0" y="0"/>
                                <a:ext cx="512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88265" cy="175260"/>
                      <wp:effectExtent l="0" t="0" r="0" b="0"/>
                      <wp:wrapNone/>
                      <wp:docPr id="271" name="Frame271"/>
                      <a:graphic xmlns:a="http://schemas.openxmlformats.org/drawingml/2006/main">
                        <a:graphicData uri="http://schemas.microsoft.com/office/word/2010/wordprocessingShape">
                          <wps:wsp>
                            <wps:cNvSpPr txBox="1"/>
                            <wps:spPr>
                              <a:xfrm>
                                <a:off x="0" y="0"/>
                                <a:ext cx="88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71450" cy="175260"/>
                      <wp:effectExtent l="0" t="0" r="0" b="0"/>
                      <wp:wrapNone/>
                      <wp:docPr id="272" name="Frame272"/>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428625" cy="175260"/>
                      <wp:effectExtent l="0" t="0" r="0" b="0"/>
                      <wp:wrapNone/>
                      <wp:docPr id="273" name="Frame273"/>
                      <a:graphic xmlns:a="http://schemas.openxmlformats.org/drawingml/2006/main">
                        <a:graphicData uri="http://schemas.microsoft.com/office/word/2010/wordprocessingShape">
                          <wps:wsp>
                            <wps:cNvSpPr txBox="1"/>
                            <wps:spPr>
                              <a:xfrm>
                                <a:off x="0" y="0"/>
                                <a:ext cx="428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0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33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161"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Gain (loss) </w:t>
            </w:r>
          </w:p>
        </w:tc>
      </w:tr>
      <w:tr>
        <w:trPr/>
        <w:tc>
          <w:tcPr>
            <w:tcW w:w="310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33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161"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recognized in income on</w:t>
            </w:r>
          </w:p>
        </w:tc>
      </w:tr>
      <w:tr>
        <w:trPr/>
        <w:tc>
          <w:tcPr>
            <w:tcW w:w="310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33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16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derivatives</w:t>
            </w:r>
          </w:p>
        </w:tc>
      </w:tr>
      <w:tr>
        <w:trPr/>
        <w:tc>
          <w:tcPr>
            <w:tcW w:w="310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w:t>
            </w:r>
          </w:p>
        </w:tc>
        <w:tc>
          <w:tcPr>
            <w:tcW w:w="33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16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w:t>
            </w:r>
          </w:p>
        </w:tc>
      </w:tr>
      <w:tr>
        <w:trPr/>
        <w:tc>
          <w:tcPr>
            <w:tcW w:w="31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Derivatives not designated as</w:t>
            </w:r>
          </w:p>
        </w:tc>
        <w:tc>
          <w:tcPr>
            <w:tcW w:w="146" w:type="dxa"/>
            <w:tcBorders/>
            <w:vAlign w:val="center"/>
          </w:tcPr>
          <w:p>
            <w:pPr>
              <w:pStyle w:val="TableContents"/>
              <w:bidi w:val="0"/>
              <w:spacing w:before="0" w:after="0"/>
              <w:ind w:left="0" w:right="0" w:hanging="0"/>
              <w:jc w:val="left"/>
              <w:rPr/>
            </w:pPr>
            <w:r>
              <w:rPr/>
              <w:t>​</w:t>
            </w:r>
          </w:p>
        </w:tc>
        <w:tc>
          <w:tcPr>
            <w:tcW w:w="33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Location of gain (loss)</w:t>
            </w:r>
          </w:p>
        </w:tc>
        <w:tc>
          <w:tcPr>
            <w:tcW w:w="109" w:type="dxa"/>
            <w:tcBorders/>
            <w:vAlign w:val="center"/>
          </w:tcPr>
          <w:p>
            <w:pPr>
              <w:pStyle w:val="TableContents"/>
              <w:bidi w:val="0"/>
              <w:spacing w:before="0" w:after="0"/>
              <w:ind w:left="0" w:right="0" w:hanging="0"/>
              <w:jc w:val="left"/>
              <w:rPr/>
            </w:pPr>
            <w:r>
              <w:rPr/>
              <w:t>​</w:t>
            </w:r>
          </w:p>
        </w:tc>
        <w:tc>
          <w:tcPr>
            <w:tcW w:w="107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w:t>
            </w:r>
          </w:p>
        </w:tc>
        <w:tc>
          <w:tcPr>
            <w:tcW w:w="139" w:type="dxa"/>
            <w:tcBorders/>
            <w:vAlign w:val="center"/>
          </w:tcPr>
          <w:p>
            <w:pPr>
              <w:pStyle w:val="TableContents"/>
              <w:bidi w:val="0"/>
              <w:spacing w:before="0" w:after="0"/>
              <w:ind w:left="0" w:right="0" w:hanging="0"/>
              <w:jc w:val="center"/>
              <w:rPr/>
            </w:pPr>
            <w:r>
              <w:rPr/>
              <w:t>​</w:t>
            </w:r>
          </w:p>
        </w:tc>
        <w:tc>
          <w:tcPr>
            <w:tcW w:w="94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w:t>
            </w:r>
          </w:p>
        </w:tc>
      </w:tr>
      <w:tr>
        <w:trPr/>
        <w:tc>
          <w:tcPr>
            <w:tcW w:w="31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hedging instruments </w:t>
            </w:r>
          </w:p>
        </w:tc>
        <w:tc>
          <w:tcPr>
            <w:tcW w:w="146" w:type="dxa"/>
            <w:tcBorders/>
            <w:vAlign w:val="center"/>
          </w:tcPr>
          <w:p>
            <w:pPr>
              <w:pStyle w:val="TableContents"/>
              <w:bidi w:val="0"/>
              <w:spacing w:before="0" w:after="0"/>
              <w:ind w:left="0" w:right="0" w:hanging="0"/>
              <w:jc w:val="left"/>
              <w:rPr/>
            </w:pPr>
            <w:r>
              <w:rPr/>
              <w:t>​</w:t>
            </w:r>
          </w:p>
        </w:tc>
        <w:tc>
          <w:tcPr>
            <w:tcW w:w="33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recognized in income on derivatives</w:t>
            </w:r>
          </w:p>
        </w:tc>
        <w:tc>
          <w:tcPr>
            <w:tcW w:w="109" w:type="dxa"/>
            <w:tcBorders/>
            <w:vAlign w:val="center"/>
          </w:tcPr>
          <w:p>
            <w:pPr>
              <w:pStyle w:val="TableContents"/>
              <w:bidi w:val="0"/>
              <w:spacing w:before="0" w:after="0"/>
              <w:ind w:left="0" w:right="0" w:hanging="0"/>
              <w:jc w:val="left"/>
              <w:rPr/>
            </w:pPr>
            <w:r>
              <w:rPr/>
              <w:t>​</w:t>
            </w:r>
          </w:p>
        </w:tc>
        <w:tc>
          <w:tcPr>
            <w:tcW w:w="10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139" w:type="dxa"/>
            <w:tcBorders/>
            <w:vAlign w:val="center"/>
          </w:tcPr>
          <w:p>
            <w:pPr>
              <w:pStyle w:val="TableContents"/>
              <w:bidi w:val="0"/>
              <w:spacing w:before="0" w:after="0"/>
              <w:ind w:left="0" w:right="0" w:hanging="0"/>
              <w:jc w:val="left"/>
              <w:rPr/>
            </w:pPr>
            <w:r>
              <w:rPr/>
              <w:t>​</w:t>
            </w:r>
          </w:p>
        </w:tc>
        <w:tc>
          <w:tcPr>
            <w:tcW w:w="9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exchange contracts</w:t>
            </w:r>
          </w:p>
        </w:tc>
        <w:tc>
          <w:tcPr>
            <w:tcW w:w="146" w:type="dxa"/>
            <w:tcBorders/>
            <w:shd w:fill="CCEEFF" w:val="clear"/>
            <w:vAlign w:val="center"/>
          </w:tcPr>
          <w:p>
            <w:pPr>
              <w:pStyle w:val="TableContents"/>
              <w:bidi w:val="0"/>
              <w:spacing w:before="0" w:after="0"/>
              <w:ind w:left="0" w:right="0" w:hanging="0"/>
              <w:jc w:val="left"/>
              <w:rPr/>
            </w:pPr>
            <w:r>
              <w:rPr/>
              <w:t> </w:t>
            </w:r>
          </w:p>
        </w:tc>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other income (expense), net</w:t>
            </w:r>
          </w:p>
        </w:tc>
        <w:tc>
          <w:tcPr>
            <w:tcW w:w="109" w:type="dxa"/>
            <w:tcBorders/>
            <w:shd w:fill="CCEEFF" w:val="clear"/>
            <w:vAlign w:val="center"/>
          </w:tcPr>
          <w:p>
            <w:pPr>
              <w:pStyle w:val="TableContents"/>
              <w:bidi w:val="0"/>
              <w:spacing w:before="0" w:after="0"/>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(1,924)</w:t>
            </w:r>
          </w:p>
        </w:tc>
        <w:tc>
          <w:tcPr>
            <w:tcW w:w="139" w:type="dxa"/>
            <w:tcBorders/>
            <w:shd w:fill="CCEEFF" w:val="clear"/>
            <w:vAlign w:val="center"/>
          </w:tcPr>
          <w:p>
            <w:pPr>
              <w:pStyle w:val="TableContents"/>
              <w:bidi w:val="0"/>
              <w:spacing w:before="0" w:after="0"/>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743</w:t>
            </w:r>
          </w:p>
        </w:tc>
      </w:tr>
    </w:tbl>
    <w:p>
      <w:pPr>
        <w:pStyle w:val="TextBody"/>
        <w:bidi w:val="0"/>
        <w:spacing w:before="0" w:after="0"/>
        <w:ind w:left="0" w:right="0" w:hanging="0"/>
        <w:jc w:val="center"/>
        <w:rPr/>
      </w:pPr>
      <w:r>
        <w:rPr/>
        <w:t>​</w:t>
      </w:r>
    </w:p>
    <w:tbl>
      <w:tblPr>
        <w:tblW w:w="8853" w:type="dxa"/>
        <w:jc w:val="left"/>
        <w:tblInd w:w="0" w:type="dxa"/>
        <w:tblLayout w:type="fixed"/>
        <w:tblCellMar>
          <w:top w:w="0" w:type="dxa"/>
          <w:left w:w="0" w:type="dxa"/>
          <w:bottom w:w="0" w:type="dxa"/>
          <w:right w:w="0" w:type="dxa"/>
        </w:tblCellMar>
      </w:tblPr>
      <w:tblGrid>
        <w:gridCol w:w="3106"/>
        <w:gridCol w:w="146"/>
        <w:gridCol w:w="3331"/>
        <w:gridCol w:w="109"/>
        <w:gridCol w:w="248"/>
        <w:gridCol w:w="741"/>
        <w:gridCol w:w="128"/>
        <w:gridCol w:w="248"/>
        <w:gridCol w:w="796"/>
      </w:tblGrid>
      <w:tr>
        <w:trPr/>
        <w:tc>
          <w:tcPr>
            <w:tcW w:w="310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92710" cy="175260"/>
                      <wp:effectExtent l="0" t="0" r="0" b="0"/>
                      <wp:wrapNone/>
                      <wp:docPr id="274" name="Frame27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115185" cy="175260"/>
                      <wp:effectExtent l="0" t="0" r="0" b="0"/>
                      <wp:wrapNone/>
                      <wp:docPr id="275" name="Frame275"/>
                      <a:graphic xmlns:a="http://schemas.openxmlformats.org/drawingml/2006/main">
                        <a:graphicData uri="http://schemas.microsoft.com/office/word/2010/wordprocessingShape">
                          <wps:wsp>
                            <wps:cNvSpPr txBox="1"/>
                            <wps:spPr>
                              <a:xfrm>
                                <a:off x="0" y="0"/>
                                <a:ext cx="2115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9215" cy="175260"/>
                      <wp:effectExtent l="0" t="0" r="0" b="0"/>
                      <wp:wrapNone/>
                      <wp:docPr id="276" name="Frame2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57480" cy="175260"/>
                      <wp:effectExtent l="0" t="0" r="0" b="0"/>
                      <wp:wrapNone/>
                      <wp:docPr id="277" name="Frame277"/>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470535" cy="175260"/>
                      <wp:effectExtent l="0" t="0" r="0" b="0"/>
                      <wp:wrapNone/>
                      <wp:docPr id="278" name="Frame278"/>
                      <a:graphic xmlns:a="http://schemas.openxmlformats.org/drawingml/2006/main">
                        <a:graphicData uri="http://schemas.microsoft.com/office/word/2010/wordprocessingShape">
                          <wps:wsp>
                            <wps:cNvSpPr txBox="1"/>
                            <wps:spPr>
                              <a:xfrm>
                                <a:off x="0" y="0"/>
                                <a:ext cx="470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81280" cy="175260"/>
                      <wp:effectExtent l="0" t="0" r="0" b="0"/>
                      <wp:wrapNone/>
                      <wp:docPr id="279" name="Frame279"/>
                      <a:graphic xmlns:a="http://schemas.openxmlformats.org/drawingml/2006/main">
                        <a:graphicData uri="http://schemas.microsoft.com/office/word/2010/wordprocessingShape">
                          <wps:wsp>
                            <wps:cNvSpPr txBox="1"/>
                            <wps:spPr>
                              <a:xfrm>
                                <a:off x="0" y="0"/>
                                <a:ext cx="81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57480" cy="175260"/>
                      <wp:effectExtent l="0" t="0" r="0" b="0"/>
                      <wp:wrapNone/>
                      <wp:docPr id="280" name="Frame280"/>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505460" cy="175260"/>
                      <wp:effectExtent l="0" t="0" r="0" b="0"/>
                      <wp:wrapNone/>
                      <wp:docPr id="281" name="Frame28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0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33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161"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Gain (loss) </w:t>
            </w:r>
          </w:p>
        </w:tc>
      </w:tr>
      <w:tr>
        <w:trPr/>
        <w:tc>
          <w:tcPr>
            <w:tcW w:w="310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33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161"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recognized in income on</w:t>
            </w:r>
          </w:p>
        </w:tc>
      </w:tr>
      <w:tr>
        <w:trPr/>
        <w:tc>
          <w:tcPr>
            <w:tcW w:w="310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33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16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derivatives</w:t>
            </w:r>
          </w:p>
        </w:tc>
      </w:tr>
      <w:tr>
        <w:trPr/>
        <w:tc>
          <w:tcPr>
            <w:tcW w:w="310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3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6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Six-months ended</w:t>
            </w:r>
          </w:p>
        </w:tc>
      </w:tr>
      <w:tr>
        <w:trPr/>
        <w:tc>
          <w:tcPr>
            <w:tcW w:w="31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Derivatives not designated as</w:t>
            </w:r>
          </w:p>
        </w:tc>
        <w:tc>
          <w:tcPr>
            <w:tcW w:w="146" w:type="dxa"/>
            <w:tcBorders/>
            <w:vAlign w:val="center"/>
          </w:tcPr>
          <w:p>
            <w:pPr>
              <w:pStyle w:val="TableContents"/>
              <w:bidi w:val="0"/>
              <w:spacing w:before="0" w:after="0"/>
              <w:ind w:left="0" w:right="0" w:hanging="0"/>
              <w:jc w:val="left"/>
              <w:rPr/>
            </w:pPr>
            <w:r>
              <w:rPr/>
              <w:t>​</w:t>
            </w:r>
          </w:p>
        </w:tc>
        <w:tc>
          <w:tcPr>
            <w:tcW w:w="33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Location of gain (loss)</w:t>
            </w:r>
          </w:p>
        </w:tc>
        <w:tc>
          <w:tcPr>
            <w:tcW w:w="109" w:type="dxa"/>
            <w:tcBorders/>
            <w:vAlign w:val="center"/>
          </w:tcPr>
          <w:p>
            <w:pPr>
              <w:pStyle w:val="TableContents"/>
              <w:bidi w:val="0"/>
              <w:spacing w:before="0" w:after="0"/>
              <w:ind w:left="0" w:right="0" w:hanging="0"/>
              <w:jc w:val="left"/>
              <w:rPr/>
            </w:pPr>
            <w:r>
              <w:rPr/>
              <w:t>​</w:t>
            </w:r>
          </w:p>
        </w:tc>
        <w:tc>
          <w:tcPr>
            <w:tcW w:w="989"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w:t>
            </w:r>
          </w:p>
        </w:tc>
        <w:tc>
          <w:tcPr>
            <w:tcW w:w="128" w:type="dxa"/>
            <w:tcBorders/>
            <w:vAlign w:val="center"/>
          </w:tcPr>
          <w:p>
            <w:pPr>
              <w:pStyle w:val="TableContents"/>
              <w:bidi w:val="0"/>
              <w:spacing w:before="0" w:after="0"/>
              <w:ind w:left="0" w:right="0" w:hanging="0"/>
              <w:jc w:val="center"/>
              <w:rPr/>
            </w:pPr>
            <w:r>
              <w:rPr/>
              <w:t>​</w:t>
            </w:r>
          </w:p>
        </w:tc>
        <w:tc>
          <w:tcPr>
            <w:tcW w:w="1044"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June 30, </w:t>
            </w:r>
          </w:p>
        </w:tc>
      </w:tr>
      <w:tr>
        <w:trPr/>
        <w:tc>
          <w:tcPr>
            <w:tcW w:w="31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hedging instruments</w:t>
            </w:r>
          </w:p>
        </w:tc>
        <w:tc>
          <w:tcPr>
            <w:tcW w:w="146" w:type="dxa"/>
            <w:tcBorders/>
            <w:vAlign w:val="center"/>
          </w:tcPr>
          <w:p>
            <w:pPr>
              <w:pStyle w:val="TableContents"/>
              <w:bidi w:val="0"/>
              <w:spacing w:before="0" w:after="0"/>
              <w:ind w:left="0" w:right="0" w:hanging="0"/>
              <w:jc w:val="left"/>
              <w:rPr/>
            </w:pPr>
            <w:r>
              <w:rPr/>
              <w:t>​</w:t>
            </w:r>
          </w:p>
        </w:tc>
        <w:tc>
          <w:tcPr>
            <w:tcW w:w="33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recognized in income on derivatives</w:t>
            </w:r>
          </w:p>
        </w:tc>
        <w:tc>
          <w:tcPr>
            <w:tcW w:w="109" w:type="dxa"/>
            <w:tcBorders/>
            <w:vAlign w:val="center"/>
          </w:tcPr>
          <w:p>
            <w:pPr>
              <w:pStyle w:val="TableContents"/>
              <w:bidi w:val="0"/>
              <w:spacing w:before="0" w:after="0"/>
              <w:ind w:left="0" w:right="0" w:hanging="0"/>
              <w:jc w:val="left"/>
              <w:rPr/>
            </w:pPr>
            <w:r>
              <w:rPr/>
              <w:t>​</w:t>
            </w:r>
          </w:p>
        </w:tc>
        <w:tc>
          <w:tcPr>
            <w:tcW w:w="9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128" w:type="dxa"/>
            <w:tcBorders/>
            <w:vAlign w:val="center"/>
          </w:tcPr>
          <w:p>
            <w:pPr>
              <w:pStyle w:val="TableContents"/>
              <w:bidi w:val="0"/>
              <w:spacing w:before="0" w:after="0"/>
              <w:ind w:left="0" w:right="0" w:hanging="0"/>
              <w:jc w:val="left"/>
              <w:rPr/>
            </w:pPr>
            <w:r>
              <w:rPr/>
              <w:t>​</w:t>
            </w:r>
          </w:p>
        </w:tc>
        <w:tc>
          <w:tcPr>
            <w:tcW w:w="10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exchange contracts</w:t>
            </w:r>
          </w:p>
        </w:tc>
        <w:tc>
          <w:tcPr>
            <w:tcW w:w="146" w:type="dxa"/>
            <w:tcBorders/>
            <w:shd w:fill="CCEEFF" w:val="clear"/>
            <w:vAlign w:val="center"/>
          </w:tcPr>
          <w:p>
            <w:pPr>
              <w:pStyle w:val="TableContents"/>
              <w:bidi w:val="0"/>
              <w:spacing w:before="0" w:after="0"/>
              <w:ind w:left="0" w:right="0" w:hanging="0"/>
              <w:jc w:val="left"/>
              <w:rPr/>
            </w:pPr>
            <w:r>
              <w:rPr/>
              <w:t> </w:t>
            </w:r>
          </w:p>
        </w:tc>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other income (expense), net</w:t>
            </w:r>
          </w:p>
        </w:tc>
        <w:tc>
          <w:tcPr>
            <w:tcW w:w="109" w:type="dxa"/>
            <w:tcBorders/>
            <w:shd w:fill="CCEEFF" w:val="clear"/>
            <w:vAlign w:val="center"/>
          </w:tcPr>
          <w:p>
            <w:pPr>
              <w:pStyle w:val="TableContents"/>
              <w:bidi w:val="0"/>
              <w:spacing w:before="0" w:after="0"/>
              <w:ind w:left="0" w:right="0" w:hanging="0"/>
              <w:jc w:val="lef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(9,775)</w:t>
            </w:r>
          </w:p>
        </w:tc>
        <w:tc>
          <w:tcPr>
            <w:tcW w:w="128" w:type="dxa"/>
            <w:tcBorders/>
            <w:shd w:fill="CCEEFF" w:val="clear"/>
            <w:vAlign w:val="center"/>
          </w:tcPr>
          <w:p>
            <w:pPr>
              <w:pStyle w:val="TableContents"/>
              <w:bidi w:val="0"/>
              <w:spacing w:before="0" w:after="0"/>
              <w:ind w:left="0" w:right="0" w:hanging="0"/>
              <w:jc w:val="lef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(3,275)</w:t>
            </w:r>
          </w:p>
        </w:tc>
      </w:tr>
    </w:tbl>
    <w:p>
      <w:pPr>
        <w:pStyle w:val="TextBody"/>
        <w:bidi w:val="0"/>
        <w:spacing w:before="0" w:after="0"/>
        <w:ind w:left="0" w:right="0" w:hanging="0"/>
        <w:jc w:val="center"/>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Certain of the Company’s counterparty agreements contain provisions that require the Company to post collateral on derivative instruments in a net liability position, for which the Company posted collateral of $1.1 million as of June 30, 2023.</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pBdr/>
        <w:bidi w:val="0"/>
        <w:spacing w:before="0" w:after="0"/>
        <w:ind w:left="0" w:right="0" w:hanging="720"/>
        <w:jc w:val="left"/>
        <w:rPr/>
      </w:pPr>
      <w:r>
        <w:rPr/>
        <w:t>​</w:t>
      </w:r>
    </w:p>
    <w:p>
      <w:pPr>
        <w:pStyle w:val="Normal"/>
        <w:bidi w:val="0"/>
        <w:spacing w:before="0" w:after="0"/>
        <w:jc w:val="left"/>
        <w:rPr>
          <w:sz w:val="4"/>
          <w:szCs w:val="4"/>
        </w:rPr>
      </w:pPr>
      <w:r>
        <w:rPr>
          <w:sz w:val="4"/>
          <w:szCs w:val="4"/>
        </w:rPr>
      </w:r>
      <w:bookmarkStart w:id="1588" w:name="Tc_UGHbmUk9K0irSQLtQ32VlA_6_5"/>
      <w:bookmarkStart w:id="1589" w:name="Tc_mfl4DhsA7EmoRFkGNbMDdQ_6_2"/>
      <w:bookmarkStart w:id="1590" w:name="Tc_UKQG-kFn50a7izwW3i49EA_5_0"/>
      <w:bookmarkStart w:id="1591" w:name="Tc_LiFu9fi0kUKU6UPzGjSkJA_4_0"/>
      <w:bookmarkStart w:id="1592" w:name="Tc_nWb_bd9mAUadfQkHG_fYng_3_5"/>
      <w:bookmarkStart w:id="1593" w:name="Tc_Pnu0F0kV8Em2iD_TCDtO8A_3_2"/>
      <w:bookmarkStart w:id="1594" w:name="Tc_PUsuvQ5ni0qOa9PB2LJxQw_3_0"/>
      <w:bookmarkStart w:id="1595" w:name="Tc_pF64js3v8Uy1Z2MXTQ85_Q_2_5"/>
      <w:bookmarkStart w:id="1596" w:name="Tc_L6puchwCfUqLbgxf8oAFdQ_2_2"/>
      <w:bookmarkStart w:id="1597" w:name="Tc_Wxp3pAxUrkugZEMy8JHuQQ_1_5"/>
      <w:bookmarkStart w:id="1598" w:name="Tc__wIAgFMTokKWfHzy6-qkww_1_2"/>
      <w:bookmarkStart w:id="1599" w:name="Tc_UGHbmUk9K0irSQLtQ32VlA_6_5"/>
      <w:bookmarkStart w:id="1600" w:name="Tc_mfl4DhsA7EmoRFkGNbMDdQ_6_2"/>
      <w:bookmarkStart w:id="1601" w:name="Tc_UKQG-kFn50a7izwW3i49EA_5_0"/>
      <w:bookmarkStart w:id="1602" w:name="Tc_LiFu9fi0kUKU6UPzGjSkJA_4_0"/>
      <w:bookmarkStart w:id="1603" w:name="Tc_nWb_bd9mAUadfQkHG_fYng_3_5"/>
      <w:bookmarkStart w:id="1604" w:name="Tc_Pnu0F0kV8Em2iD_TCDtO8A_3_2"/>
      <w:bookmarkStart w:id="1605" w:name="Tc_PUsuvQ5ni0qOa9PB2LJxQw_3_0"/>
      <w:bookmarkStart w:id="1606" w:name="Tc_pF64js3v8Uy1Z2MXTQ85_Q_2_5"/>
      <w:bookmarkStart w:id="1607" w:name="Tc_L6puchwCfUqLbgxf8oAFdQ_2_2"/>
      <w:bookmarkStart w:id="1608" w:name="Tc_Wxp3pAxUrkugZEMy8JHuQQ_1_5"/>
      <w:bookmarkStart w:id="1609" w:name="Tc__wIAgFMTokKWfHzy6-qkww_1_2"/>
      <w:bookmarkEnd w:id="1599"/>
      <w:bookmarkEnd w:id="1600"/>
      <w:bookmarkEnd w:id="1601"/>
      <w:bookmarkEnd w:id="1602"/>
      <w:bookmarkEnd w:id="1603"/>
      <w:bookmarkEnd w:id="1604"/>
      <w:bookmarkEnd w:id="1605"/>
      <w:bookmarkEnd w:id="1606"/>
      <w:bookmarkEnd w:id="1607"/>
      <w:bookmarkEnd w:id="1608"/>
      <w:bookmarkEnd w:id="1609"/>
    </w:p>
    <w:tbl>
      <w:tblPr>
        <w:tblW w:w="1682" w:type="dxa"/>
        <w:jc w:val="left"/>
        <w:tblInd w:w="0" w:type="dxa"/>
        <w:tblLayout w:type="fixed"/>
        <w:tblCellMar>
          <w:top w:w="0" w:type="dxa"/>
          <w:left w:w="0" w:type="dxa"/>
          <w:bottom w:w="0" w:type="dxa"/>
          <w:right w:w="0" w:type="dxa"/>
        </w:tblCellMar>
      </w:tblPr>
      <w:tblGrid>
        <w:gridCol w:w="271"/>
        <w:gridCol w:w="1411"/>
      </w:tblGrid>
      <w:tr>
        <w:trPr/>
        <w:tc>
          <w:tcPr>
            <w:tcW w:w="27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7.</w:t>
            </w:r>
          </w:p>
        </w:tc>
        <w:tc>
          <w:tcPr>
            <w:tcW w:w="141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INVENTORIES</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Inventories consist of the following at:</w:t>
      </w:r>
    </w:p>
    <w:p>
      <w:pPr>
        <w:pStyle w:val="TextBody"/>
        <w:bidi w:val="0"/>
        <w:spacing w:before="0" w:after="0"/>
        <w:ind w:left="0" w:right="0" w:firstLine="720"/>
        <w:jc w:val="both"/>
        <w:rPr/>
      </w:pPr>
      <w:r>
        <w:rPr/>
        <w:t>​</w:t>
      </w:r>
    </w:p>
    <w:tbl>
      <w:tblPr>
        <w:tblW w:w="4375" w:type="dxa"/>
        <w:jc w:val="left"/>
        <w:tblInd w:w="0" w:type="dxa"/>
        <w:tblLayout w:type="fixed"/>
        <w:tblCellMar>
          <w:top w:w="0" w:type="dxa"/>
          <w:left w:w="0" w:type="dxa"/>
          <w:bottom w:w="0" w:type="dxa"/>
          <w:right w:w="0" w:type="dxa"/>
        </w:tblCellMar>
      </w:tblPr>
      <w:tblGrid>
        <w:gridCol w:w="1426"/>
        <w:gridCol w:w="326"/>
        <w:gridCol w:w="211"/>
        <w:gridCol w:w="781"/>
        <w:gridCol w:w="326"/>
        <w:gridCol w:w="250"/>
        <w:gridCol w:w="1055"/>
      </w:tblGrid>
      <w:tr>
        <w:trPr/>
        <w:tc>
          <w:tcPr>
            <w:tcW w:w="14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1055" w:type="dxa"/>
            <w:tcBorders/>
            <w:vAlign w:val="center"/>
          </w:tcPr>
          <w:p>
            <w:pPr>
              <w:pStyle w:val="TableContents"/>
              <w:bidi w:val="0"/>
              <w:spacing w:before="0" w:after="0"/>
              <w:ind w:left="0" w:right="0" w:hanging="0"/>
              <w:jc w:val="left"/>
              <w:rPr/>
            </w:pPr>
            <w:r>
              <w:rPr/>
              <w:t>​</w:t>
            </w:r>
          </w:p>
        </w:tc>
      </w:tr>
      <w:tr>
        <w:trPr/>
        <w:tc>
          <w:tcPr>
            <w:tcW w:w="14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w:t>
            </w:r>
          </w:p>
        </w:tc>
      </w:tr>
      <w:tr>
        <w:trPr/>
        <w:tc>
          <w:tcPr>
            <w:tcW w:w="14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1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399,564</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467,392</w:t>
            </w:r>
          </w:p>
        </w:tc>
      </w:tr>
      <w:tr>
        <w:trPr/>
        <w:tc>
          <w:tcPr>
            <w:tcW w:w="1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 in process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1,848</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10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1,688</w:t>
            </w:r>
          </w:p>
        </w:tc>
      </w:tr>
      <w:tr>
        <w:trPr/>
        <w:tc>
          <w:tcPr>
            <w:tcW w:w="1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445,400</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466,551</w:t>
            </w:r>
          </w:p>
        </w:tc>
      </w:tr>
      <w:tr>
        <w:trPr/>
        <w:tc>
          <w:tcPr>
            <w:tcW w:w="14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846,812</w:t>
            </w:r>
          </w:p>
        </w:tc>
        <w:tc>
          <w:tcPr>
            <w:tcW w:w="326" w:type="dxa"/>
            <w:tcBorders/>
            <w:vAlign w:val="center"/>
          </w:tcPr>
          <w:p>
            <w:pPr>
              <w:pStyle w:val="TableContents"/>
              <w:bidi w:val="0"/>
              <w:spacing w:before="0" w:after="0"/>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935,631</w:t>
            </w:r>
          </w:p>
        </w:tc>
      </w:tr>
    </w:tbl>
    <w:p>
      <w:pPr>
        <w:pStyle w:val="TextBody"/>
        <w:pBdr/>
        <w:bidi w:val="0"/>
        <w:spacing w:before="0" w:after="240"/>
        <w:ind w:left="0" w:right="0" w:hanging="72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610" w:name="Tc_huVb1aSCoE6Nvfpsf92V1Q_14_5"/>
      <w:bookmarkStart w:id="1611" w:name="Tc_2G0bxv0tbka0cyN_itLeYQ_14_2"/>
      <w:bookmarkStart w:id="1612" w:name="Tc_QNJ0Lx6bwUSWIf0DSHRHMA_13_0"/>
      <w:bookmarkStart w:id="1613" w:name="Tc_-2_yl0Jm402uWodHF0vWVA_11_0"/>
      <w:bookmarkStart w:id="1614" w:name="Tc_HXgwAJuGeEyeReqC5ns1cA_10_0"/>
      <w:bookmarkStart w:id="1615" w:name="Tc_pv7fp1F-wk-C49LrLUXc0g_9_0"/>
      <w:bookmarkStart w:id="1616" w:name="Tc_-5x-jcIcFkey-QOBg6rqTA_8_0"/>
      <w:bookmarkStart w:id="1617" w:name="Tc_FsF0g1vLeUC_WTtqvKIjSw_7_0"/>
      <w:bookmarkStart w:id="1618" w:name="Tc_vqcnyWyrn06nauQGz0OmHw_6_0"/>
      <w:bookmarkStart w:id="1619" w:name="Tc_MInhLa8j_UKlcejmFXU7mw_5_0"/>
      <w:bookmarkStart w:id="1620" w:name="Tc_G6K_ayCX1UimC2KzTlrniw_4_0"/>
      <w:bookmarkStart w:id="1621" w:name="Tc_5pB9m4Ikq06aFznC8Dd3cQ_3_5"/>
      <w:bookmarkStart w:id="1622" w:name="Tc_kKP2WfFCZEevcYXSVzAmew_3_2"/>
      <w:bookmarkStart w:id="1623" w:name="Tc_k3K79CENcUCePfc_igAhrQ_3_0"/>
      <w:bookmarkStart w:id="1624" w:name="Tc_6Nz77oakfEetacNp_dKNPQ_2_5"/>
      <w:bookmarkStart w:id="1625" w:name="Tc_1Uyy23296Eqx7CAR10FKoQ_2_2"/>
      <w:bookmarkStart w:id="1626" w:name="Tc_oh254TVaUkuvnnyQ4ZUREg_1_5"/>
      <w:bookmarkStart w:id="1627" w:name="Tc_eyqBz6uA_kGQ_szbPJNmTA_1_2"/>
      <w:bookmarkStart w:id="1628" w:name="Tc_huVb1aSCoE6Nvfpsf92V1Q_14_5"/>
      <w:bookmarkStart w:id="1629" w:name="Tc_2G0bxv0tbka0cyN_itLeYQ_14_2"/>
      <w:bookmarkStart w:id="1630" w:name="Tc_QNJ0Lx6bwUSWIf0DSHRHMA_13_0"/>
      <w:bookmarkStart w:id="1631" w:name="Tc_-2_yl0Jm402uWodHF0vWVA_11_0"/>
      <w:bookmarkStart w:id="1632" w:name="Tc_HXgwAJuGeEyeReqC5ns1cA_10_0"/>
      <w:bookmarkStart w:id="1633" w:name="Tc_pv7fp1F-wk-C49LrLUXc0g_9_0"/>
      <w:bookmarkStart w:id="1634" w:name="Tc_-5x-jcIcFkey-QOBg6rqTA_8_0"/>
      <w:bookmarkStart w:id="1635" w:name="Tc_FsF0g1vLeUC_WTtqvKIjSw_7_0"/>
      <w:bookmarkStart w:id="1636" w:name="Tc_vqcnyWyrn06nauQGz0OmHw_6_0"/>
      <w:bookmarkStart w:id="1637" w:name="Tc_MInhLa8j_UKlcejmFXU7mw_5_0"/>
      <w:bookmarkStart w:id="1638" w:name="Tc_G6K_ayCX1UimC2KzTlrniw_4_0"/>
      <w:bookmarkStart w:id="1639" w:name="Tc_5pB9m4Ikq06aFznC8Dd3cQ_3_5"/>
      <w:bookmarkStart w:id="1640" w:name="Tc_kKP2WfFCZEevcYXSVzAmew_3_2"/>
      <w:bookmarkStart w:id="1641" w:name="Tc_k3K79CENcUCePfc_igAhrQ_3_0"/>
      <w:bookmarkStart w:id="1642" w:name="Tc_6Nz77oakfEetacNp_dKNPQ_2_5"/>
      <w:bookmarkStart w:id="1643" w:name="Tc_1Uyy23296Eqx7CAR10FKoQ_2_2"/>
      <w:bookmarkStart w:id="1644" w:name="Tc_oh254TVaUkuvnnyQ4ZUREg_1_5"/>
      <w:bookmarkStart w:id="1645" w:name="Tc_eyqBz6uA_kGQ_szbPJNmTA_1_2"/>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p>
    <w:tbl>
      <w:tblPr>
        <w:tblW w:w="3482" w:type="dxa"/>
        <w:jc w:val="left"/>
        <w:tblInd w:w="0" w:type="dxa"/>
        <w:tblLayout w:type="fixed"/>
        <w:tblCellMar>
          <w:top w:w="0" w:type="dxa"/>
          <w:left w:w="0" w:type="dxa"/>
          <w:bottom w:w="0" w:type="dxa"/>
          <w:right w:w="0" w:type="dxa"/>
        </w:tblCellMar>
      </w:tblPr>
      <w:tblGrid>
        <w:gridCol w:w="271"/>
        <w:gridCol w:w="3211"/>
      </w:tblGrid>
      <w:tr>
        <w:trPr/>
        <w:tc>
          <w:tcPr>
            <w:tcW w:w="27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8.</w:t>
            </w:r>
          </w:p>
        </w:tc>
        <w:tc>
          <w:tcPr>
            <w:tcW w:w="321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PROPERTY AND EQUIPMENT, NET</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Property and equipment consist of the following at:</w:t>
      </w:r>
    </w:p>
    <w:p>
      <w:pPr>
        <w:pStyle w:val="TextBody"/>
        <w:bidi w:val="0"/>
        <w:spacing w:before="0" w:after="0"/>
        <w:ind w:left="0" w:right="0" w:firstLine="720"/>
        <w:jc w:val="both"/>
        <w:rPr/>
      </w:pPr>
      <w:r>
        <w:rPr/>
        <w:t>​</w:t>
      </w:r>
    </w:p>
    <w:tbl>
      <w:tblPr>
        <w:tblW w:w="7180" w:type="dxa"/>
        <w:jc w:val="left"/>
        <w:tblInd w:w="0" w:type="dxa"/>
        <w:tblLayout w:type="fixed"/>
        <w:tblCellMar>
          <w:top w:w="0" w:type="dxa"/>
          <w:left w:w="0" w:type="dxa"/>
          <w:bottom w:w="0" w:type="dxa"/>
          <w:right w:w="0" w:type="dxa"/>
        </w:tblCellMar>
      </w:tblPr>
      <w:tblGrid>
        <w:gridCol w:w="4111"/>
        <w:gridCol w:w="326"/>
        <w:gridCol w:w="211"/>
        <w:gridCol w:w="901"/>
        <w:gridCol w:w="326"/>
        <w:gridCol w:w="250"/>
        <w:gridCol w:w="1055"/>
      </w:tblGrid>
      <w:tr>
        <w:trPr/>
        <w:tc>
          <w:tcPr>
            <w:tcW w:w="4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1055" w:type="dxa"/>
            <w:tcBorders/>
            <w:vAlign w:val="center"/>
          </w:tcPr>
          <w:p>
            <w:pPr>
              <w:pStyle w:val="TableContents"/>
              <w:bidi w:val="0"/>
              <w:spacing w:before="0" w:after="0"/>
              <w:ind w:left="0" w:right="0" w:hanging="0"/>
              <w:jc w:val="left"/>
              <w:rPr/>
            </w:pPr>
            <w:r>
              <w:rPr/>
              <w:t>​</w:t>
            </w:r>
          </w:p>
        </w:tc>
      </w:tr>
      <w:tr>
        <w:trPr/>
        <w:tc>
          <w:tcPr>
            <w:tcW w:w="4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w:t>
            </w:r>
          </w:p>
        </w:tc>
      </w:tr>
      <w:tr>
        <w:trPr/>
        <w:tc>
          <w:tcPr>
            <w:tcW w:w="4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139,975</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139,798</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33,245</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10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31,327</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9,393</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 </w:t>
            </w:r>
          </w:p>
        </w:tc>
        <w:tc>
          <w:tcPr>
            <w:tcW w:w="10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9,286</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 and computer equipment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23,326</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10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22,386</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Computer software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4,941</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 </w:t>
            </w:r>
          </w:p>
        </w:tc>
        <w:tc>
          <w:tcPr>
            <w:tcW w:w="10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5,906</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269,671</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10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244,739</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165,598</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 </w:t>
            </w:r>
          </w:p>
        </w:tc>
        <w:tc>
          <w:tcPr>
            <w:tcW w:w="10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163,885</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Vehicles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57,162</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10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49,175</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 under construction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133,086</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83,553</w:t>
            </w:r>
          </w:p>
        </w:tc>
      </w:tr>
      <w:tr>
        <w:trPr/>
        <w:tc>
          <w:tcPr>
            <w:tcW w:w="4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836,397</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10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750,055</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(259,752)</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(233,158)</w:t>
            </w:r>
          </w:p>
        </w:tc>
      </w:tr>
      <w:tr>
        <w:trPr/>
        <w:tc>
          <w:tcPr>
            <w:tcW w:w="4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576,645</w:t>
            </w:r>
          </w:p>
        </w:tc>
        <w:tc>
          <w:tcPr>
            <w:tcW w:w="326" w:type="dxa"/>
            <w:tcBorders/>
            <w:vAlign w:val="center"/>
          </w:tcPr>
          <w:p>
            <w:pPr>
              <w:pStyle w:val="TableContents"/>
              <w:bidi w:val="0"/>
              <w:spacing w:before="0" w:after="0"/>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516,897</w:t>
            </w:r>
          </w:p>
        </w:tc>
      </w:tr>
    </w:tbl>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Total depreciation and amortization expense was $14.7 million and $13.8 million for the three-months ended June 30, 2023 and 2022, respectively. Total depreciation and amortization expense was $29.5 million and $26.9 million for the six-months ended June 30, 2023 and 2022, respectively.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1646" w:name="Tc_koUqOBnr4E-hOvX5EcE9rA_7_2"/>
      <w:bookmarkStart w:id="1647" w:name="Tc_V0N9zkY-Gkin9fCGkK1ymA_6_0"/>
      <w:bookmarkStart w:id="1648" w:name="Tc_9Swbe5hu90W2q3ikoIKVAg_5_0"/>
      <w:bookmarkStart w:id="1649" w:name="Tc_aeUlfc4xREijHcu3vacptg_4_0"/>
      <w:bookmarkStart w:id="1650" w:name="Tc_2Vr8OSaWu0OW6utGrz_y7w_3_0"/>
      <w:bookmarkStart w:id="1651" w:name="Tc_giWYF9np10yZQkBIvfxU-A_2_0"/>
      <w:bookmarkStart w:id="1652" w:name="Tc_EF8dVoDwkku0se9a7puIHg_1_2"/>
      <w:bookmarkStart w:id="1653" w:name="Tc_qtnMSANzmEGEAHwQkan5SQ_1_0"/>
      <w:bookmarkStart w:id="1654" w:name="Tc_EolCnfq2-06DzynvYqQV0Q_7_5"/>
      <w:bookmarkStart w:id="1655" w:name="Tc_CZfPLKQoC06OiSmCyOmVXQ_7_2"/>
      <w:bookmarkStart w:id="1656" w:name="Tc_fBVpKom4XUS_PZZ_JCwBWw_6_0"/>
      <w:bookmarkStart w:id="1657" w:name="Tc_QjbZBbLpvkCTmJilCNmf2w_4_0"/>
      <w:bookmarkStart w:id="1658" w:name="Tc_YKEGXM8aMU6o1sKbH_kfRw_3_5"/>
      <w:bookmarkStart w:id="1659" w:name="Tc_4sfT_ADdh0qeAmF_RPVvKA_3_2"/>
      <w:bookmarkStart w:id="1660" w:name="Tc_8q1G2tNNgEy89on-eVU2iQ_3_0"/>
      <w:bookmarkStart w:id="1661" w:name="Tc_RbjeJBrYIUyXK_xXViso8Q_2_5"/>
      <w:bookmarkStart w:id="1662" w:name="Tc_6EOYAbfFwkOxwcDlyd3YUw_2_2"/>
      <w:bookmarkStart w:id="1663" w:name="Tc_X2tvMTvvZ029yLoh7mIs1g_1_5"/>
      <w:bookmarkStart w:id="1664" w:name="Tc_xpbmhxQa_E2Yjc3LWDKMvg_1_2"/>
      <w:bookmarkStart w:id="1665" w:name="_e9768743_e4a2_4b35_bdd8_e8f6ac51ab82"/>
      <w:bookmarkStart w:id="1666" w:name="Tc_wm3Rtk91yEaRmPPwIKwU-Q_6_14"/>
      <w:bookmarkStart w:id="1667" w:name="Tc_H632gBZ800ufQomiNuH7Eg_6_11"/>
      <w:bookmarkStart w:id="1668" w:name="Tc_8rDoDql9s0aRr_ijzX2Cjg_6_8"/>
      <w:bookmarkStart w:id="1669" w:name="Tc_EjzBfzH_Q0y0hvAIHVg2lQ_6_5"/>
      <w:bookmarkStart w:id="1670" w:name="Tc_gJQ15uo7eES802eT_HZJJQ_6_2"/>
      <w:bookmarkStart w:id="1671" w:name="Tc_10JdYET3sUC2fMry_YXn5A_6_0"/>
      <w:bookmarkStart w:id="1672" w:name="Tc_49F7DYxp20CvHpYW8BAP_Q_5_0"/>
      <w:bookmarkStart w:id="1673" w:name="Tc_OLn6vROxG0afqRCZpIm5XA_4_14"/>
      <w:bookmarkStart w:id="1674" w:name="Tc__e6V_dPEGk2vzRletuEUUg_4_11"/>
      <w:bookmarkStart w:id="1675" w:name="Tc_vZRNyHUarky2ATGBUAO71A_4_8"/>
      <w:bookmarkStart w:id="1676" w:name="Tc_fBO4LfBs-EaodGXiw7nWTg_4_5"/>
      <w:bookmarkStart w:id="1677" w:name="Tc_j2w2o7QLvEenxmRuqnZX1g_4_2"/>
      <w:bookmarkStart w:id="1678" w:name="Tc_4k1pEml_ZE-nR7PZEOAHtg_4_0"/>
      <w:bookmarkStart w:id="1679" w:name="Tc_jaJmIderAEqkNZdGtAs2nQ_3_14"/>
      <w:bookmarkStart w:id="1680" w:name="Tc_8ElOIw8Tmk6DdGzhtt3aXQ_3_11"/>
      <w:bookmarkStart w:id="1681" w:name="Tc_MBJPBdHrAkm-XIi-3FViAg_3_8"/>
      <w:bookmarkStart w:id="1682" w:name="Tc_BUYgscgnbUCdY41eCclp-Q_3_5"/>
      <w:bookmarkStart w:id="1683" w:name="Tc_CnPD9cZj_kyGdG5wE6U4Dw_3_2"/>
      <w:bookmarkStart w:id="1684" w:name="Tc_3eq93tNT4ES1RGijARPcWw_2_8"/>
      <w:bookmarkStart w:id="1685" w:name="Tc_4gVKtu2HNEWN4WiOyVaXXQ_2_5"/>
      <w:bookmarkStart w:id="1686" w:name="Tc_2F55jWmpn0GhVFs1IVO4bQ_2_2"/>
      <w:bookmarkStart w:id="1687" w:name="Tc_EG4_BoBiSk216OFW2EzzZQ_1_2"/>
      <w:bookmarkStart w:id="1688" w:name="_aed5bb4a_25e7_4df6_b4bb_6ba46d5c6895"/>
      <w:bookmarkStart w:id="1689" w:name="Tc_CyIDaDxSAk2xWPWL7FVrNA_6_14"/>
      <w:bookmarkStart w:id="1690" w:name="Tc_MQM5m8SFYkedF2R8QT4Hrg_6_11"/>
      <w:bookmarkStart w:id="1691" w:name="Tc_iqXWyZIPK0Wim0TWegWSWw_6_8"/>
      <w:bookmarkStart w:id="1692" w:name="Tc_ZAWKE9JmIESpwC4VdEc_Ow_6_5"/>
      <w:bookmarkStart w:id="1693" w:name="Tc_YrxbbqDxxUe_rV5dTHU0hw_6_2"/>
      <w:bookmarkStart w:id="1694" w:name="Tc_J3t3u2oGZUqvVv_e3SRw-A_6_0"/>
      <w:bookmarkStart w:id="1695" w:name="Tc_Qs_khlDqaE2WqnU5n4rdMg_5_0"/>
      <w:bookmarkStart w:id="1696" w:name="Tc_YL4oIMB2M0Gyv0gltXpswg_4_14"/>
      <w:bookmarkStart w:id="1697" w:name="Tc_PDpbZpMYqUCOr-TAZsaadA_4_11"/>
      <w:bookmarkStart w:id="1698" w:name="Tc_5byDD6htc02rmcaWEDtemg_4_8"/>
      <w:bookmarkStart w:id="1699" w:name="Tc_eCYbgPOqh0Sru-ByHQuqag_4_5"/>
      <w:bookmarkStart w:id="1700" w:name="Tc_Jx53nMybBkeZE2KwGjTs2Q_4_2"/>
      <w:bookmarkStart w:id="1701" w:name="Tc_Pvu2vADqQEuzyevNjrNKHQ_4_0"/>
      <w:bookmarkStart w:id="1702" w:name="Tc_8Is9oF8UN0e-AX6AU7sjQQ_3_14"/>
      <w:bookmarkStart w:id="1703" w:name="Tc_pwLh91b1x02GvJ4fxW-QSg_3_11"/>
      <w:bookmarkStart w:id="1704" w:name="Tc_1C0C5RnZkEG38C5ArAoscg_3_8"/>
      <w:bookmarkStart w:id="1705" w:name="Tc_3GjZa7eKCUqbypbcNn2yPg_3_5"/>
      <w:bookmarkStart w:id="1706" w:name="Tc_ceCSRM4Mj0Oo2VA7GexEpg_3_2"/>
      <w:bookmarkStart w:id="1707" w:name="Tc_BKGDE8zMT0WxxvZL-yPAuw_2_8"/>
      <w:bookmarkStart w:id="1708" w:name="Tc_7twFl5Ua10mSOs2rT_M18g_2_5"/>
      <w:bookmarkStart w:id="1709" w:name="Tc_ELUFUSIAq0eILbdy5z_B_A_2_2"/>
      <w:bookmarkStart w:id="1710" w:name="Tc_LbCtcktCV0KDOlrfsl3Pjg_1_2"/>
      <w:bookmarkStart w:id="1711" w:name="_2e69e3ea_1eb2_4ded_a12e_71cac5175567"/>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r>
        <w:rPr>
          <w:rFonts w:ascii="Times New Roman;Times;serif" w:hAnsi="Times New Roman;Times;serif"/>
          <w:b w:val="false"/>
          <w:i w:val="false"/>
          <w:caps w:val="false"/>
          <w:smallCaps w:val="false"/>
          <w:sz w:val="20"/>
        </w:rPr>
        <w:t>9.</w:t>
      </w:r>
      <w:r>
        <w:rPr>
          <w:rFonts w:ascii="Times New Roman;Times;serif" w:hAnsi="Times New Roman;Times;serif"/>
          <w:sz w:val="20"/>
        </w:rPr>
        <w:t xml:space="preserve">GOODWILL AND OTHER INTANGIBLE ASSETS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is a roll-forward of goodwill for the six-months ended June 30, 2023 and 2022 by reportable segment:</w:t>
      </w:r>
    </w:p>
    <w:p>
      <w:pPr>
        <w:pStyle w:val="TextBody"/>
        <w:bidi w:val="0"/>
        <w:spacing w:before="0" w:after="0"/>
        <w:ind w:left="0" w:right="0" w:firstLine="720"/>
        <w:jc w:val="both"/>
        <w:rPr/>
      </w:pPr>
      <w:r>
        <w:rPr/>
        <w:t>​</w:t>
      </w:r>
    </w:p>
    <w:tbl>
      <w:tblPr>
        <w:tblW w:w="8901" w:type="dxa"/>
        <w:jc w:val="left"/>
        <w:tblInd w:w="0" w:type="dxa"/>
        <w:tblLayout w:type="fixed"/>
        <w:tblCellMar>
          <w:top w:w="0" w:type="dxa"/>
          <w:left w:w="0" w:type="dxa"/>
          <w:bottom w:w="0" w:type="dxa"/>
          <w:right w:w="0" w:type="dxa"/>
        </w:tblCellMar>
      </w:tblPr>
      <w:tblGrid>
        <w:gridCol w:w="2596"/>
        <w:gridCol w:w="326"/>
        <w:gridCol w:w="211"/>
        <w:gridCol w:w="781"/>
        <w:gridCol w:w="326"/>
        <w:gridCol w:w="211"/>
        <w:gridCol w:w="781"/>
        <w:gridCol w:w="326"/>
        <w:gridCol w:w="211"/>
        <w:gridCol w:w="676"/>
        <w:gridCol w:w="326"/>
        <w:gridCol w:w="211"/>
        <w:gridCol w:w="346"/>
        <w:gridCol w:w="326"/>
        <w:gridCol w:w="211"/>
        <w:gridCol w:w="1036"/>
      </w:tblGrid>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07010" cy="175260"/>
                      <wp:effectExtent l="0" t="0" r="0" b="0"/>
                      <wp:wrapNone/>
                      <wp:docPr id="282" name="Frame2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33985" cy="175260"/>
                      <wp:effectExtent l="0" t="0" r="0" b="0"/>
                      <wp:wrapNone/>
                      <wp:docPr id="283" name="Frame2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495935" cy="175260"/>
                      <wp:effectExtent l="0" t="0" r="0" b="0"/>
                      <wp:wrapNone/>
                      <wp:docPr id="284" name="Frame28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07010" cy="175260"/>
                      <wp:effectExtent l="0" t="0" r="0" b="0"/>
                      <wp:wrapNone/>
                      <wp:docPr id="285" name="Frame2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33985" cy="175260"/>
                      <wp:effectExtent l="0" t="0" r="0" b="0"/>
                      <wp:wrapNone/>
                      <wp:docPr id="286" name="Frame2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495935" cy="175260"/>
                      <wp:effectExtent l="0" t="0" r="0" b="0"/>
                      <wp:wrapNone/>
                      <wp:docPr id="287" name="Frame28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07010" cy="175260"/>
                      <wp:effectExtent l="0" t="0" r="0" b="0"/>
                      <wp:wrapNone/>
                      <wp:docPr id="288" name="Frame2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33985" cy="175260"/>
                      <wp:effectExtent l="0" t="0" r="0" b="0"/>
                      <wp:wrapNone/>
                      <wp:docPr id="289" name="Frame2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429260" cy="175260"/>
                      <wp:effectExtent l="0" t="0" r="0" b="0"/>
                      <wp:wrapNone/>
                      <wp:docPr id="290" name="Frame29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07010" cy="175260"/>
                      <wp:effectExtent l="0" t="0" r="0" b="0"/>
                      <wp:wrapNone/>
                      <wp:docPr id="291" name="Frame2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33985" cy="175260"/>
                      <wp:effectExtent l="0" t="0" r="0" b="0"/>
                      <wp:wrapNone/>
                      <wp:docPr id="292" name="Frame2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19710" cy="175260"/>
                      <wp:effectExtent l="0" t="0" r="0" b="0"/>
                      <wp:wrapNone/>
                      <wp:docPr id="293" name="Frame2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07010" cy="175260"/>
                      <wp:effectExtent l="0" t="0" r="0" b="0"/>
                      <wp:wrapNone/>
                      <wp:docPr id="294" name="Frame2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33985" cy="175260"/>
                      <wp:effectExtent l="0" t="0" r="0" b="0"/>
                      <wp:wrapNone/>
                      <wp:docPr id="295" name="Frame2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57860" cy="175260"/>
                      <wp:effectExtent l="0" t="0" r="0" b="0"/>
                      <wp:wrapNone/>
                      <wp:docPr id="296" name="Frame29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Monster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Energy®</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Strategic</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Alcohol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Drinks</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26" w:type="dxa"/>
            <w:tcBorders/>
            <w:vAlign w:val="center"/>
          </w:tcPr>
          <w:p>
            <w:pPr>
              <w:pStyle w:val="TableContents"/>
              <w:bidi w:val="0"/>
              <w:spacing w:before="0" w:after="0"/>
              <w:ind w:left="0" w:right="0" w:hanging="0"/>
              <w:jc w:val="left"/>
              <w:rPr/>
            </w:pPr>
            <w:r>
              <w:rPr/>
              <w:t>    </w:t>
            </w:r>
          </w:p>
        </w:tc>
        <w:tc>
          <w:tcPr>
            <w:tcW w:w="5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693,644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637,999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86,298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1,417,941</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693,644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637,999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86,298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1,417,941</w:t>
            </w:r>
          </w:p>
        </w:tc>
      </w:tr>
    </w:tbl>
    <w:p>
      <w:pPr>
        <w:pStyle w:val="TextBody"/>
        <w:bidi w:val="0"/>
        <w:spacing w:before="0" w:after="0"/>
        <w:ind w:left="0" w:right="0" w:hanging="0"/>
        <w:jc w:val="left"/>
        <w:rPr/>
      </w:pPr>
      <w:r>
        <w:rPr/>
        <w:t>​</w:t>
      </w:r>
    </w:p>
    <w:tbl>
      <w:tblPr>
        <w:tblW w:w="8901" w:type="dxa"/>
        <w:jc w:val="left"/>
        <w:tblInd w:w="0" w:type="dxa"/>
        <w:tblLayout w:type="fixed"/>
        <w:tblCellMar>
          <w:top w:w="0" w:type="dxa"/>
          <w:left w:w="0" w:type="dxa"/>
          <w:bottom w:w="0" w:type="dxa"/>
          <w:right w:w="0" w:type="dxa"/>
        </w:tblCellMar>
      </w:tblPr>
      <w:tblGrid>
        <w:gridCol w:w="2596"/>
        <w:gridCol w:w="326"/>
        <w:gridCol w:w="211"/>
        <w:gridCol w:w="781"/>
        <w:gridCol w:w="326"/>
        <w:gridCol w:w="211"/>
        <w:gridCol w:w="781"/>
        <w:gridCol w:w="326"/>
        <w:gridCol w:w="211"/>
        <w:gridCol w:w="676"/>
        <w:gridCol w:w="326"/>
        <w:gridCol w:w="211"/>
        <w:gridCol w:w="346"/>
        <w:gridCol w:w="326"/>
        <w:gridCol w:w="211"/>
        <w:gridCol w:w="1036"/>
      </w:tblGrid>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07010" cy="175260"/>
                      <wp:effectExtent l="0" t="0" r="0" b="0"/>
                      <wp:wrapNone/>
                      <wp:docPr id="297" name="Frame2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33985" cy="175260"/>
                      <wp:effectExtent l="0" t="0" r="0" b="0"/>
                      <wp:wrapNone/>
                      <wp:docPr id="298" name="Frame2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495935" cy="175260"/>
                      <wp:effectExtent l="0" t="0" r="0" b="0"/>
                      <wp:wrapNone/>
                      <wp:docPr id="299" name="Frame29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07010" cy="175260"/>
                      <wp:effectExtent l="0" t="0" r="0" b="0"/>
                      <wp:wrapNone/>
                      <wp:docPr id="300" name="Frame3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33985" cy="175260"/>
                      <wp:effectExtent l="0" t="0" r="0" b="0"/>
                      <wp:wrapNone/>
                      <wp:docPr id="301" name="Frame3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495935" cy="175260"/>
                      <wp:effectExtent l="0" t="0" r="0" b="0"/>
                      <wp:wrapNone/>
                      <wp:docPr id="302" name="Frame30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07010" cy="175260"/>
                      <wp:effectExtent l="0" t="0" r="0" b="0"/>
                      <wp:wrapNone/>
                      <wp:docPr id="303" name="Frame3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33985" cy="175260"/>
                      <wp:effectExtent l="0" t="0" r="0" b="0"/>
                      <wp:wrapNone/>
                      <wp:docPr id="304" name="Frame3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429260" cy="175260"/>
                      <wp:effectExtent l="0" t="0" r="0" b="0"/>
                      <wp:wrapNone/>
                      <wp:docPr id="305" name="Frame30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07010" cy="175260"/>
                      <wp:effectExtent l="0" t="0" r="0" b="0"/>
                      <wp:wrapNone/>
                      <wp:docPr id="306" name="Frame3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33985" cy="175260"/>
                      <wp:effectExtent l="0" t="0" r="0" b="0"/>
                      <wp:wrapNone/>
                      <wp:docPr id="307" name="Frame3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19710" cy="175260"/>
                      <wp:effectExtent l="0" t="0" r="0" b="0"/>
                      <wp:wrapNone/>
                      <wp:docPr id="308" name="Frame3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07010" cy="175260"/>
                      <wp:effectExtent l="0" t="0" r="0" b="0"/>
                      <wp:wrapNone/>
                      <wp:docPr id="309" name="Frame3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133985" cy="175260"/>
                      <wp:effectExtent l="0" t="0" r="0" b="0"/>
                      <wp:wrapNone/>
                      <wp:docPr id="310" name="Frame3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57860" cy="175260"/>
                      <wp:effectExtent l="0" t="0" r="0" b="0"/>
                      <wp:wrapNone/>
                      <wp:docPr id="311" name="Frame31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Monster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Energy®</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Strategic</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Alcohol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Drinks</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26" w:type="dxa"/>
            <w:tcBorders/>
            <w:vAlign w:val="center"/>
          </w:tcPr>
          <w:p>
            <w:pPr>
              <w:pStyle w:val="TableContents"/>
              <w:bidi w:val="0"/>
              <w:spacing w:before="0" w:after="0"/>
              <w:ind w:left="0" w:right="0" w:hanging="0"/>
              <w:jc w:val="left"/>
              <w:rPr/>
            </w:pPr>
            <w:r>
              <w:rPr/>
              <w:t>    </w:t>
            </w:r>
          </w:p>
        </w:tc>
        <w:tc>
          <w:tcPr>
            <w:tcW w:w="5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693,644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637,999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1,331,643</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81,298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81,298</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693,644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637,999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81,298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1,412,941</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Intangible assets consist of the following at:</w:t>
      </w:r>
    </w:p>
    <w:p>
      <w:pPr>
        <w:pStyle w:val="TextBody"/>
        <w:bidi w:val="0"/>
        <w:spacing w:before="0" w:after="0"/>
        <w:ind w:left="0" w:right="0" w:firstLine="720"/>
        <w:jc w:val="both"/>
        <w:rPr/>
      </w:pPr>
      <w:r>
        <w:rPr/>
        <w:t>​</w:t>
      </w:r>
    </w:p>
    <w:tbl>
      <w:tblPr>
        <w:tblW w:w="5470" w:type="dxa"/>
        <w:jc w:val="left"/>
        <w:tblInd w:w="0" w:type="dxa"/>
        <w:tblLayout w:type="fixed"/>
        <w:tblCellMar>
          <w:top w:w="0" w:type="dxa"/>
          <w:left w:w="0" w:type="dxa"/>
          <w:bottom w:w="0" w:type="dxa"/>
          <w:right w:w="0" w:type="dxa"/>
        </w:tblCellMar>
      </w:tblPr>
      <w:tblGrid>
        <w:gridCol w:w="2371"/>
        <w:gridCol w:w="326"/>
        <w:gridCol w:w="211"/>
        <w:gridCol w:w="931"/>
        <w:gridCol w:w="326"/>
        <w:gridCol w:w="220"/>
        <w:gridCol w:w="1085"/>
      </w:tblGrid>
      <w:tr>
        <w:trPr/>
        <w:tc>
          <w:tcPr>
            <w:tcW w:w="23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1085" w:type="dxa"/>
            <w:tcBorders/>
            <w:vAlign w:val="center"/>
          </w:tcPr>
          <w:p>
            <w:pPr>
              <w:pStyle w:val="TableContents"/>
              <w:bidi w:val="0"/>
              <w:spacing w:before="0" w:after="0"/>
              <w:ind w:left="0" w:right="0" w:hanging="0"/>
              <w:jc w:val="left"/>
              <w:rPr/>
            </w:pPr>
            <w:r>
              <w:rPr/>
              <w:t>​</w:t>
            </w:r>
          </w:p>
        </w:tc>
      </w:tr>
      <w:tr>
        <w:trPr/>
        <w:tc>
          <w:tcPr>
            <w:tcW w:w="23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w:t>
            </w:r>
          </w:p>
        </w:tc>
      </w:tr>
      <w:tr>
        <w:trPr/>
        <w:tc>
          <w:tcPr>
            <w:tcW w:w="23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2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Amortizing intangibles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121,378</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121,378</w:t>
            </w:r>
          </w:p>
        </w:tc>
      </w:tr>
      <w:tr>
        <w:trPr/>
        <w:tc>
          <w:tcPr>
            <w:tcW w:w="2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amortization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(71,712)</w:t>
            </w:r>
          </w:p>
        </w:tc>
        <w:tc>
          <w:tcPr>
            <w:tcW w:w="32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(68,790)</w:t>
            </w:r>
          </w:p>
        </w:tc>
      </w:tr>
      <w:tr>
        <w:trPr/>
        <w:tc>
          <w:tcPr>
            <w:tcW w:w="23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49,666</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10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52,588</w:t>
            </w:r>
          </w:p>
        </w:tc>
      </w:tr>
      <w:tr>
        <w:trPr/>
        <w:tc>
          <w:tcPr>
            <w:tcW w:w="2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Non-amortizing intangibles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1,174,434</w:t>
            </w:r>
          </w:p>
        </w:tc>
        <w:tc>
          <w:tcPr>
            <w:tcW w:w="32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1,167,822</w:t>
            </w:r>
          </w:p>
        </w:tc>
      </w:tr>
      <w:tr>
        <w:trPr/>
        <w:tc>
          <w:tcPr>
            <w:tcW w:w="23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1,224,100</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1,220,410</w:t>
            </w:r>
          </w:p>
        </w:tc>
      </w:tr>
    </w:tbl>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Amortizing intangibles primarily consist of customer relationships. All amortizing intangibles have been assigned an estimated finite useful life and such intangibles are amortized on a straight-line basis over the number of years that approximate their respective useful lives, generally </w:t>
      </w:r>
      <w:r>
        <w:rPr>
          <w:rFonts w:ascii="Times New Roman;Times;serif" w:hAnsi="Times New Roman;Times;serif"/>
          <w:b w:val="false"/>
          <w:i w:val="false"/>
          <w:caps w:val="false"/>
          <w:smallCaps w:val="false"/>
          <w:sz w:val="20"/>
        </w:rPr>
        <w:t>five</w:t>
      </w:r>
      <w:r>
        <w:rPr>
          <w:rFonts w:ascii="Times New Roman;Times;serif" w:hAnsi="Times New Roman;Times;serif"/>
          <w:sz w:val="20"/>
        </w:rPr>
        <w:t xml:space="preserve"> to fifteen years. Total amortization expense was $0.9 million and $2.0 million for the three-months ended June 30, 2023 and 2022, respectively. Total amortization expense was $2.9 million and $3.5 million for the six-months ended June 30, 2023 and 2022, respectively. For the three- and six-months ended June 30, 2023, impairment charges of $2.8 million and $2.8 million, respectively, were recorded to non-amortizing intangibles. For the three- and six-months ended June 30, 2022, no intangible impairments were recorded.</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is the future estimated amortization expense related to amortizing intangibles as of June 30, 2023:</w:t>
      </w:r>
    </w:p>
    <w:p>
      <w:pPr>
        <w:pStyle w:val="TextBody"/>
        <w:bidi w:val="0"/>
        <w:spacing w:before="0" w:after="0"/>
        <w:ind w:left="0" w:right="0" w:firstLine="720"/>
        <w:jc w:val="both"/>
        <w:rPr/>
      </w:pPr>
      <w:r>
        <w:rPr/>
        <w:t>​</w:t>
      </w:r>
    </w:p>
    <w:tbl>
      <w:tblPr>
        <w:tblW w:w="5279" w:type="dxa"/>
        <w:jc w:val="left"/>
        <w:tblInd w:w="0" w:type="dxa"/>
        <w:tblLayout w:type="fixed"/>
        <w:tblCellMar>
          <w:top w:w="0" w:type="dxa"/>
          <w:left w:w="0" w:type="dxa"/>
          <w:bottom w:w="0" w:type="dxa"/>
          <w:right w:w="0" w:type="dxa"/>
        </w:tblCellMar>
      </w:tblPr>
      <w:tblGrid>
        <w:gridCol w:w="3961"/>
        <w:gridCol w:w="326"/>
        <w:gridCol w:w="211"/>
        <w:gridCol w:w="781"/>
      </w:tblGrid>
      <w:tr>
        <w:trPr/>
        <w:tc>
          <w:tcPr>
            <w:tcW w:w="3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2023 (from July 1, 2023 to December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1,824</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3,648</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3,647</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3,647</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3,646</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 and thereafter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33,254</w:t>
            </w:r>
          </w:p>
        </w:tc>
      </w:tr>
      <w:tr>
        <w:trPr/>
        <w:tc>
          <w:tcPr>
            <w:tcW w:w="396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49,666</w:t>
            </w:r>
          </w:p>
        </w:tc>
      </w:tr>
    </w:tbl>
    <w:p>
      <w:pPr>
        <w:pStyle w:val="TextBody"/>
        <w:bidi w:val="0"/>
        <w:spacing w:before="0" w:after="240"/>
        <w:ind w:left="0" w:right="0" w:hanging="0"/>
        <w:jc w:val="left"/>
        <w:rPr/>
      </w:pPr>
      <w:r>
        <w:rPr/>
        <w:t>​</w:t>
      </w:r>
    </w:p>
    <w:p>
      <w:pPr>
        <w:pStyle w:val="TextBody"/>
        <w:bidi w:val="0"/>
        <w:spacing w:before="0" w:after="0"/>
        <w:ind w:left="0" w:right="0" w:firstLine="720"/>
        <w:jc w:val="both"/>
        <w:rPr/>
      </w:pPr>
      <w:r>
        <w:rPr/>
        <w:t>​</w:t>
      </w:r>
    </w:p>
    <w:tbl>
      <w:tblPr>
        <w:tblW w:w="3242" w:type="dxa"/>
        <w:jc w:val="left"/>
        <w:tblInd w:w="0" w:type="dxa"/>
        <w:tblLayout w:type="fixed"/>
        <w:tblCellMar>
          <w:top w:w="0" w:type="dxa"/>
          <w:left w:w="0" w:type="dxa"/>
          <w:bottom w:w="0" w:type="dxa"/>
          <w:right w:w="0" w:type="dxa"/>
        </w:tblCellMar>
      </w:tblPr>
      <w:tblGrid>
        <w:gridCol w:w="406"/>
        <w:gridCol w:w="2836"/>
      </w:tblGrid>
      <w:tr>
        <w:trPr/>
        <w:tc>
          <w:tcPr>
            <w:tcW w:w="40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2"/>
              </w:rPr>
              <w:t>10</w:t>
            </w:r>
            <w:r>
              <w:rPr>
                <w:rFonts w:ascii="Times New Roman;Times;serif" w:hAnsi="Times New Roman;Times;serif"/>
                <w:sz w:val="20"/>
              </w:rPr>
              <w:t>.</w:t>
            </w:r>
          </w:p>
        </w:tc>
        <w:tc>
          <w:tcPr>
            <w:tcW w:w="283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DISTRIBUTION AGREEMENTS</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the normal course of business, amounts received pursuant to new and/or amended distribution agreements entered into with certain bottlers/distributors, relating to the costs associated with terminating agreements with the Company’s prior distributors, or at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inception of certain sales/marketing programs are accounted for as deferred revenue and are recognized as revenue ratably over the anticipated life of the respective agreement, generally 20 years or program duration, as the case may be. Revenue recognized was $10.0 million and $10.1 million for the three-months ended June 30, 2023 and 2022, respectively. Revenue recognized was $19.9 million and $20.1 million for the six-months ended June 30, 2023 and 2022, respectively.</w:t>
      </w:r>
    </w:p>
    <w:p>
      <w:pPr>
        <w:pStyle w:val="TextBody"/>
        <w:bidi w:val="0"/>
        <w:spacing w:before="0" w:after="0"/>
        <w:ind w:left="0" w:right="0" w:firstLine="720"/>
        <w:jc w:val="both"/>
        <w:rPr/>
      </w:pPr>
      <w:r>
        <w:rPr/>
        <w:t>​</w:t>
      </w:r>
    </w:p>
    <w:tbl>
      <w:tblPr>
        <w:tblW w:w="4022" w:type="dxa"/>
        <w:jc w:val="left"/>
        <w:tblInd w:w="0" w:type="dxa"/>
        <w:tblLayout w:type="fixed"/>
        <w:tblCellMar>
          <w:top w:w="0" w:type="dxa"/>
          <w:left w:w="0" w:type="dxa"/>
          <w:bottom w:w="0" w:type="dxa"/>
          <w:right w:w="0" w:type="dxa"/>
        </w:tblCellMar>
      </w:tblPr>
      <w:tblGrid>
        <w:gridCol w:w="376"/>
        <w:gridCol w:w="3646"/>
      </w:tblGrid>
      <w:tr>
        <w:trPr/>
        <w:tc>
          <w:tcPr>
            <w:tcW w:w="37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11.</w:t>
            </w:r>
          </w:p>
        </w:tc>
        <w:tc>
          <w:tcPr>
            <w:tcW w:w="364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COMMITMENTS AND CONTINGENCIES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had purchase commitments aggregating approximately $309.3 million at June 30, 2023, which represented commitments made by the Company and its subsidiaries to various suppliers of raw materials for the production of its products. These obligations vary in terms, but are generally satisfied within one year.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had contractual obligations aggregating approximately $380.4 million at June 30, 2023, which related primarily to sponsorships and other marketing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has a credit facility with HSBC Bank (China) Company Limited, Shanghai Branch, of $15.0 million. At June 30, 2023, the interest rate on borrowings under the line of credit was 5.5%. As of June 30, 2023, $2.7 million was outstanding on this line of credit.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Litigation</w:t>
      </w:r>
      <w:r>
        <w:rPr>
          <w:rFonts w:ascii="Times New Roman;Times;serif" w:hAnsi="Times New Roman;Times;serif"/>
          <w:sz w:val="20"/>
        </w:rPr>
        <w:t xml:space="preserve"> — From time to time in the normal course of business, the Company is named in litigation, including labor and employment matters, personal injury matters, consumer class actions, intellectual property matters and claims from prior distributors. Although it is not possible to predict the ultimate outcome of such litigation, based on the facts known to the Company, management believes that such litigation in aggregate will likely not have a material adverse effect on the Company’s financial position or results of operations.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evaluates, on a quarterly basis, developments in legal proceedings and other matters that could cause an increase or decrease in the amount of the liability that is accrued, if any, and any related insurance reimbursements. As of June 30, 2023, $0.3 million of loss contingencies were included in the Company’s accompanying consolidated balance sheet. As of December 31, 2022, no loss contingencies were included in the Company’s accompanying consolidated balance sheet.</w:t>
      </w:r>
    </w:p>
    <w:p>
      <w:pPr>
        <w:pStyle w:val="TextBody"/>
        <w:bidi w:val="0"/>
        <w:spacing w:before="0" w:after="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September 29, 2022, a jury in the U.S. District Court for the Central District of California (the “District Court”) awarded Monster Energy Company (“MEC”) approximately $293 million in damages in its false advertising and trade secrets case (the “Jury Award”) against Vital Pharmaceuticals, Inc. (“VPX”), the maker of Bang Energy. The jury found VPX and its former chief executive officer John H. Owoc to have falsely advertised the “Super Creatine” ingredient of Bang Energy and to have acted willfully and deliberately in violating the federal Lanham Act. The jury also found that VPX stole trade secrets and interfered with MEC’s contracts over shelf space with certain key vendors. On April 12, 2023, the District Court granted Monster’s motion for a permanent injunction which, among other things, enjoined VPX, Mr. Owoc, and others working in concert with them from falsely or deceptively claiming that BANG or any other beverages contain creatine or a form of creatine, requires them to remove all such advertising within 60 days, and required VPX and Mr. Owoc to issue corrective statements to consumers and non-consumer partners, including retailers and distributors.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April 2022, MEC and Orange Bang, Inc. (“Orange Bang”) filed a joint motion in a separate District Court action to confirm a final arbitration award against VPX that awarded MEC and Orange Bang $175.0 million and a 5% royalty on all future sales of VPX’s Bang Energy drink and other Bang-branded products as well as certain fees and costs (the “Arbitration Award”). The arbitration arose from a settlement agreement that VPX entered into in 2010 with Orange Bang, a family-owned beverage business. Pursuant to the terms of that agreement, VPX is only permitted to use the Bang mark on “creatine-based” products or on Bang products that are marketed and sold only in the vitamin and dietary supplement sections of stores. On September 29, 2022, the District Court entered final judgment confirming the Arbitration Award. On October 28, 2022, VPX filed a notice of appeal of the District Court’s final judgment confirming the Arbitration award.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October 10, 2022, VPX, along with certain of its domestic subsidiaries and affiliates, filed for protection under Chapter 11 of the Bankruptcy Code in the Southern District of Florida. Due to such ongoing proceedings, VPX’s appeal of the District Court’s final judgment confirming the Arbitration Award was stayed. While reserving all rights to appeal, VPX made its first royalty payment of $3.6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million on February 14, 2023, which is for sales of Bang Energy drink and other Bang-branded products from October 10, 2022 through December 31, 2022. On May 25, 2023, VPX made an additional royalty payment in the amount of approximately $3.7 million for sales of Bang-branded products from January 1, 2023 through March 31, 2023. Per ASC 450 “Contingencies”, the Company will not recognize the royalty payments until they are realized or realizable.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June 28, 2023, VPX and certain of its affiliates (“Bang Energy”) entered into an Asset Purchase Agreement (the “APA”) with the Company (“Buyer”), which among other things, provided for the Buyer’s acquisition of substantially all of Bang Energy’s assets. The transactions contemplated by the APA were approved by the U.S. Bankruptcy Court for the Southern District of Florida on July 14, 2023 and closed on July 31, 2023, at which time Monster was deemed to have allowed general unsecured claims in VPX’s bankruptcy case relating to the Jury Award (subject to the potential modification of the Jury Award in light of pending post-verdict motions filed by MEC and VPX) and the Arbitration Award. Pursuant to the APA, Bang Energy and the Company have mutually released each other from all claims and liabilities related to the Jury Award and the Arbitration Award, except any claims that the Company might have against Mr. Owoc in relation to the Jury Award. Per ASC 450 “Contingencies”, the Company will not recognize the allowed general unsecured claims, or the Jury Award as it relates to Mr. Owoc, until they are realized or realizable.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June 2023, the Company entered into an agreement with Orange Bang regarding the Company’s use and registration of certain Bang® trademarks and trade names, subject to the successful closure of the APA. Under this agreement, the Company will pay Orange Bang a one-time payment of approximately $12.5 million and a 2.5% royalty on all future sales of products bearing the tradename Bang®.</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1712" w:name="Tc_Wmrk59hhP0WKNDhhqqejXA_8_11"/>
      <w:bookmarkStart w:id="1713" w:name="Tc_RnLRtiSBZE-St94pjS1eLw_8_8"/>
      <w:bookmarkStart w:id="1714" w:name="Tc_mZ-FX2Y2g0O4DZrhQKqWnQ_8_5"/>
      <w:bookmarkStart w:id="1715" w:name="Tc_9a2BmE3h2EaAeT0S5dFSRA_8_2"/>
      <w:bookmarkStart w:id="1716" w:name="Tc_pch6UrMX1EGGIpx_9-2XUw_8_0"/>
      <w:bookmarkStart w:id="1717" w:name="Tc_hNfY7U-1lk-YlF54TOAMgA_7_0"/>
      <w:bookmarkStart w:id="1718" w:name="Tc_HCpQtiEyeUCvrOzObK-kVQ_6_0"/>
      <w:bookmarkStart w:id="1719" w:name="Tc_TTpG306iN0KSAZUqYg3COA_5_11"/>
      <w:bookmarkStart w:id="1720" w:name="Tc_USLyQCpoUk-OayGqBfPj-g_5_8"/>
      <w:bookmarkStart w:id="1721" w:name="Tc_w5wjeT5EVkSyXpPD_6kQ0Q_5_5"/>
      <w:bookmarkStart w:id="1722" w:name="Tc_kUPS2uGWTkaZJ3WjJi_mCw_5_2"/>
      <w:bookmarkStart w:id="1723" w:name="Tc_p9pTE0QKIEO-AbrQ4N1aQQ_5_0"/>
      <w:bookmarkStart w:id="1724" w:name="Tc_8c8Gkuql9UWPJOh2nGxSqQ_4_11"/>
      <w:bookmarkStart w:id="1725" w:name="Tc_on4k6QL0YkmDsn7SmEOJXA_4_8"/>
      <w:bookmarkStart w:id="1726" w:name="Tc_W7KjS69dN0aUOxjVsruG4w_4_5"/>
      <w:bookmarkStart w:id="1727" w:name="Tc_9bIs4rO-1UqCDYFn0VM5PA_4_2"/>
      <w:bookmarkStart w:id="1728" w:name="Tc_O88o0VOV1UmaQEGbGIr3ww_3_8"/>
      <w:bookmarkStart w:id="1729" w:name="Tc_tYSGwxtpykui1z4225w3nQ_3_5"/>
      <w:bookmarkStart w:id="1730" w:name="Tc_96BWXbvqkEm2MUM_hot7ow_3_2"/>
      <w:bookmarkStart w:id="1731" w:name="Tc_PK0XNb4LsUitXVYpIUw8rw_2_8"/>
      <w:bookmarkStart w:id="1732" w:name="Tc_JJ6fj9CoZU2zCRyoMS-W-g_2_5"/>
      <w:bookmarkStart w:id="1733" w:name="Tc_1D4zqtAVWEOkX9VcBnq4_Q_2_2"/>
      <w:bookmarkStart w:id="1734" w:name="Tc_UKxBnfpGf0euSVIJL8U1Nw_1_8"/>
      <w:bookmarkStart w:id="1735" w:name="Tc_bSV29Pf0MESEmnVzp2TAFg_1_2"/>
      <w:bookmarkStart w:id="1736" w:name="_54819f0d_37fa_4553_ae63_2f683f059320"/>
      <w:bookmarkStart w:id="1737" w:name="Tc_KnEsYP07T0K4UYqVrP2ymg_8_11"/>
      <w:bookmarkStart w:id="1738" w:name="Tc_hNiCyx0VFE2XeMUv_h66iw_8_8"/>
      <w:bookmarkStart w:id="1739" w:name="Tc_PZkgLOS5VUCMNRqtKODahg_8_5"/>
      <w:bookmarkStart w:id="1740" w:name="Tc_ogOJTinRkU6t-Oh-3-eHCg_8_2"/>
      <w:bookmarkStart w:id="1741" w:name="Tc_skilkBESQ0qUYF-RmDAd2w_8_0"/>
      <w:bookmarkStart w:id="1742" w:name="Tc_6FVZfoYDX0Of2tRTpFMf4A_7_0"/>
      <w:bookmarkStart w:id="1743" w:name="Tc_zHvsX3WxxESj9_WKxtuzWg_6_0"/>
      <w:bookmarkStart w:id="1744" w:name="Tc_6P4ErqqU20yD7bEvqrPaxA_5_11"/>
      <w:bookmarkStart w:id="1745" w:name="Tc_4_-FTdA1U0yIUybiulQOOg_5_8"/>
      <w:bookmarkStart w:id="1746" w:name="Tc_q0QjWIrnqUGz0hqfWNi0dg_5_5"/>
      <w:bookmarkStart w:id="1747" w:name="Tc_Vhhi70QNhUuA5szBn4Elsg_5_2"/>
      <w:bookmarkStart w:id="1748" w:name="Tc_lhXH4lnE8UWrT0WpXW5Zqg_5_0"/>
      <w:bookmarkStart w:id="1749" w:name="Tc_28Ld6eCbQ02uMfyim_41Sw_4_11"/>
      <w:bookmarkStart w:id="1750" w:name="Tc_GbiDSQvYY0a5C4qQeqQ6Aw_4_8"/>
      <w:bookmarkStart w:id="1751" w:name="Tc_26ZsDQPSJUadHJVm_L-82g_4_5"/>
      <w:bookmarkStart w:id="1752" w:name="Tc_l4lp23ODJkCv04UBgEAN9w_4_2"/>
      <w:bookmarkStart w:id="1753" w:name="Tc_vbycGpMHnkO-K1d0gQIA3w_3_8"/>
      <w:bookmarkStart w:id="1754" w:name="Tc_zIgXC4II2k-5cHZnn-n0QQ_3_5"/>
      <w:bookmarkStart w:id="1755" w:name="Tc_jD5K5NLsFU2lOdVLOYWIqw_3_2"/>
      <w:bookmarkStart w:id="1756" w:name="Tc_AasAS09QmUuVNSvz_JlU7Q_2_8"/>
      <w:bookmarkStart w:id="1757" w:name="Tc_KCC2LiVHn0OLbs2YSayF_g_2_5"/>
      <w:bookmarkStart w:id="1758" w:name="Tc_0v3tJZbUDkSG7fVUkMhpnQ_2_2"/>
      <w:bookmarkStart w:id="1759" w:name="Tc_UrMm2ZsC9kKeuYI_UHA69A_1_8"/>
      <w:bookmarkStart w:id="1760" w:name="Tc_tYLNnOlJsESwZ447JF4ilg_1_2"/>
      <w:bookmarkStart w:id="1761" w:name="_ce60d7f1_6680_451d_83ad_c274debf5c64"/>
      <w:bookmarkStart w:id="1762" w:name="Tc_Wmrk59hhP0WKNDhhqqejXA_8_11"/>
      <w:bookmarkStart w:id="1763" w:name="Tc_RnLRtiSBZE-St94pjS1eLw_8_8"/>
      <w:bookmarkStart w:id="1764" w:name="Tc_mZ-FX2Y2g0O4DZrhQKqWnQ_8_5"/>
      <w:bookmarkStart w:id="1765" w:name="Tc_9a2BmE3h2EaAeT0S5dFSRA_8_2"/>
      <w:bookmarkStart w:id="1766" w:name="Tc_pch6UrMX1EGGIpx_9-2XUw_8_0"/>
      <w:bookmarkStart w:id="1767" w:name="Tc_hNfY7U-1lk-YlF54TOAMgA_7_0"/>
      <w:bookmarkStart w:id="1768" w:name="Tc_HCpQtiEyeUCvrOzObK-kVQ_6_0"/>
      <w:bookmarkStart w:id="1769" w:name="Tc_TTpG306iN0KSAZUqYg3COA_5_11"/>
      <w:bookmarkStart w:id="1770" w:name="Tc_USLyQCpoUk-OayGqBfPj-g_5_8"/>
      <w:bookmarkStart w:id="1771" w:name="Tc_w5wjeT5EVkSyXpPD_6kQ0Q_5_5"/>
      <w:bookmarkStart w:id="1772" w:name="Tc_kUPS2uGWTkaZJ3WjJi_mCw_5_2"/>
      <w:bookmarkStart w:id="1773" w:name="Tc_p9pTE0QKIEO-AbrQ4N1aQQ_5_0"/>
      <w:bookmarkStart w:id="1774" w:name="Tc_8c8Gkuql9UWPJOh2nGxSqQ_4_11"/>
      <w:bookmarkStart w:id="1775" w:name="Tc_on4k6QL0YkmDsn7SmEOJXA_4_8"/>
      <w:bookmarkStart w:id="1776" w:name="Tc_W7KjS69dN0aUOxjVsruG4w_4_5"/>
      <w:bookmarkStart w:id="1777" w:name="Tc_9bIs4rO-1UqCDYFn0VM5PA_4_2"/>
      <w:bookmarkStart w:id="1778" w:name="Tc_O88o0VOV1UmaQEGbGIr3ww_3_8"/>
      <w:bookmarkStart w:id="1779" w:name="Tc_tYSGwxtpykui1z4225w3nQ_3_5"/>
      <w:bookmarkStart w:id="1780" w:name="Tc_96BWXbvqkEm2MUM_hot7ow_3_2"/>
      <w:bookmarkStart w:id="1781" w:name="Tc_PK0XNb4LsUitXVYpIUw8rw_2_8"/>
      <w:bookmarkStart w:id="1782" w:name="Tc_JJ6fj9CoZU2zCRyoMS-W-g_2_5"/>
      <w:bookmarkStart w:id="1783" w:name="Tc_1D4zqtAVWEOkX9VcBnq4_Q_2_2"/>
      <w:bookmarkStart w:id="1784" w:name="Tc_UKxBnfpGf0euSVIJL8U1Nw_1_8"/>
      <w:bookmarkStart w:id="1785" w:name="Tc_bSV29Pf0MESEmnVzp2TAFg_1_2"/>
      <w:bookmarkStart w:id="1786" w:name="_54819f0d_37fa_4553_ae63_2f683f059320"/>
      <w:bookmarkStart w:id="1787" w:name="Tc_KnEsYP07T0K4UYqVrP2ymg_8_11"/>
      <w:bookmarkStart w:id="1788" w:name="Tc_hNiCyx0VFE2XeMUv_h66iw_8_8"/>
      <w:bookmarkStart w:id="1789" w:name="Tc_PZkgLOS5VUCMNRqtKODahg_8_5"/>
      <w:bookmarkStart w:id="1790" w:name="Tc_ogOJTinRkU6t-Oh-3-eHCg_8_2"/>
      <w:bookmarkStart w:id="1791" w:name="Tc_skilkBESQ0qUYF-RmDAd2w_8_0"/>
      <w:bookmarkStart w:id="1792" w:name="Tc_6FVZfoYDX0Of2tRTpFMf4A_7_0"/>
      <w:bookmarkStart w:id="1793" w:name="Tc_zHvsX3WxxESj9_WKxtuzWg_6_0"/>
      <w:bookmarkStart w:id="1794" w:name="Tc_6P4ErqqU20yD7bEvqrPaxA_5_11"/>
      <w:bookmarkStart w:id="1795" w:name="Tc_4_-FTdA1U0yIUybiulQOOg_5_8"/>
      <w:bookmarkStart w:id="1796" w:name="Tc_q0QjWIrnqUGz0hqfWNi0dg_5_5"/>
      <w:bookmarkStart w:id="1797" w:name="Tc_Vhhi70QNhUuA5szBn4Elsg_5_2"/>
      <w:bookmarkStart w:id="1798" w:name="Tc_lhXH4lnE8UWrT0WpXW5Zqg_5_0"/>
      <w:bookmarkStart w:id="1799" w:name="Tc_28Ld6eCbQ02uMfyim_41Sw_4_11"/>
      <w:bookmarkStart w:id="1800" w:name="Tc_GbiDSQvYY0a5C4qQeqQ6Aw_4_8"/>
      <w:bookmarkStart w:id="1801" w:name="Tc_26ZsDQPSJUadHJVm_L-82g_4_5"/>
      <w:bookmarkStart w:id="1802" w:name="Tc_l4lp23ODJkCv04UBgEAN9w_4_2"/>
      <w:bookmarkStart w:id="1803" w:name="Tc_vbycGpMHnkO-K1d0gQIA3w_3_8"/>
      <w:bookmarkStart w:id="1804" w:name="Tc_zIgXC4II2k-5cHZnn-n0QQ_3_5"/>
      <w:bookmarkStart w:id="1805" w:name="Tc_jD5K5NLsFU2lOdVLOYWIqw_3_2"/>
      <w:bookmarkStart w:id="1806" w:name="Tc_AasAS09QmUuVNSvz_JlU7Q_2_8"/>
      <w:bookmarkStart w:id="1807" w:name="Tc_KCC2LiVHn0OLbs2YSayF_g_2_5"/>
      <w:bookmarkStart w:id="1808" w:name="Tc_0v3tJZbUDkSG7fVUkMhpnQ_2_2"/>
      <w:bookmarkStart w:id="1809" w:name="Tc_UrMm2ZsC9kKeuYI_UHA69A_1_8"/>
      <w:bookmarkStart w:id="1810" w:name="Tc_tYLNnOlJsESwZ447JF4ilg_1_2"/>
      <w:bookmarkStart w:id="1811" w:name="_ce60d7f1_6680_451d_83ad_c274debf5c64"/>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p>
    <w:tbl>
      <w:tblPr>
        <w:tblW w:w="4877" w:type="dxa"/>
        <w:jc w:val="left"/>
        <w:tblInd w:w="0" w:type="dxa"/>
        <w:tblLayout w:type="fixed"/>
        <w:tblCellMar>
          <w:top w:w="0" w:type="dxa"/>
          <w:left w:w="0" w:type="dxa"/>
          <w:bottom w:w="0" w:type="dxa"/>
          <w:right w:w="0" w:type="dxa"/>
        </w:tblCellMar>
      </w:tblPr>
      <w:tblGrid>
        <w:gridCol w:w="376"/>
        <w:gridCol w:w="4501"/>
      </w:tblGrid>
      <w:tr>
        <w:trPr/>
        <w:tc>
          <w:tcPr>
            <w:tcW w:w="37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12.</w:t>
            </w:r>
          </w:p>
        </w:tc>
        <w:tc>
          <w:tcPr>
            <w:tcW w:w="450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ACCUMULATED OTHER COMPREHENSIVE LOSS</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Changes in accumulated other comprehensive loss by component, after tax, for the six-months ended June 30, 2023 and 2022 are as follows:</w:t>
      </w:r>
    </w:p>
    <w:p>
      <w:pPr>
        <w:pStyle w:val="TextBody"/>
        <w:bidi w:val="0"/>
        <w:spacing w:before="0" w:after="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3836"/>
        <w:gridCol w:w="326"/>
        <w:gridCol w:w="314"/>
        <w:gridCol w:w="942"/>
        <w:gridCol w:w="326"/>
        <w:gridCol w:w="235"/>
        <w:gridCol w:w="993"/>
        <w:gridCol w:w="326"/>
        <w:gridCol w:w="363"/>
        <w:gridCol w:w="1071"/>
        <w:gridCol w:w="326"/>
        <w:gridCol w:w="211"/>
        <w:gridCol w:w="936"/>
      </w:tblGrid>
      <w:tr>
        <w:trPr/>
        <w:tc>
          <w:tcPr>
            <w:tcW w:w="38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w:t>
            </w:r>
          </w:p>
        </w:tc>
        <w:tc>
          <w:tcPr>
            <w:tcW w:w="9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598170" cy="175260"/>
                      <wp:effectExtent l="0" t="0" r="0" b="0"/>
                      <wp:wrapNone/>
                      <wp:docPr id="312" name="Frame312"/>
                      <a:graphic xmlns:a="http://schemas.openxmlformats.org/drawingml/2006/main">
                        <a:graphicData uri="http://schemas.microsoft.com/office/word/2010/wordprocessingShape">
                          <wps:wsp>
                            <wps:cNvSpPr txBox="1"/>
                            <wps:spPr>
                              <a:xfrm>
                                <a:off x="0" y="0"/>
                                <a:ext cx="598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07010" cy="175260"/>
                      <wp:effectExtent l="0" t="0" r="0" b="0"/>
                      <wp:wrapNone/>
                      <wp:docPr id="313" name="Frame3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49225" cy="175260"/>
                      <wp:effectExtent l="0" t="0" r="0" b="0"/>
                      <wp:wrapNone/>
                      <wp:docPr id="314" name="Frame314"/>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30555" cy="175260"/>
                      <wp:effectExtent l="0" t="0" r="0" b="0"/>
                      <wp:wrapNone/>
                      <wp:docPr id="315" name="Frame315"/>
                      <a:graphic xmlns:a="http://schemas.openxmlformats.org/drawingml/2006/main">
                        <a:graphicData uri="http://schemas.microsoft.com/office/word/2010/wordprocessingShape">
                          <wps:wsp>
                            <wps:cNvSpPr txBox="1"/>
                            <wps:spPr>
                              <a:xfrm>
                                <a:off x="0" y="0"/>
                                <a:ext cx="630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07010" cy="175260"/>
                      <wp:effectExtent l="0" t="0" r="0" b="0"/>
                      <wp:wrapNone/>
                      <wp:docPr id="316" name="Frame3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30505" cy="175260"/>
                      <wp:effectExtent l="0" t="0" r="0" b="0"/>
                      <wp:wrapNone/>
                      <wp:docPr id="317" name="Frame317"/>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80085" cy="175260"/>
                      <wp:effectExtent l="0" t="0" r="0" b="0"/>
                      <wp:wrapNone/>
                      <wp:docPr id="318" name="Frame318"/>
                      <a:graphic xmlns:a="http://schemas.openxmlformats.org/drawingml/2006/main">
                        <a:graphicData uri="http://schemas.microsoft.com/office/word/2010/wordprocessingShape">
                          <wps:wsp>
                            <wps:cNvSpPr txBox="1"/>
                            <wps:spPr>
                              <a:xfrm>
                                <a:off x="0" y="0"/>
                                <a:ext cx="680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07010" cy="175260"/>
                      <wp:effectExtent l="0" t="0" r="0" b="0"/>
                      <wp:wrapNone/>
                      <wp:docPr id="319" name="Frame3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33985" cy="175260"/>
                      <wp:effectExtent l="0" t="0" r="0" b="0"/>
                      <wp:wrapNone/>
                      <wp:docPr id="320" name="Frame3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594360" cy="175260"/>
                      <wp:effectExtent l="0" t="0" r="0" b="0"/>
                      <wp:wrapNone/>
                      <wp:docPr id="321" name="Frame321"/>
                      <a:graphic xmlns:a="http://schemas.openxmlformats.org/drawingml/2006/main">
                        <a:graphicData uri="http://schemas.microsoft.com/office/word/2010/wordprocessingShape">
                          <wps:wsp>
                            <wps:cNvSpPr txBox="1"/>
                            <wps:spPr>
                              <a:xfrm>
                                <a:off x="0" y="0"/>
                                <a:ext cx="594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5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Accumulated </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99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34"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left"/>
              <w:rPr/>
            </w:pPr>
            <w:r>
              <w:rPr/>
              <w:t>​</w:t>
            </w:r>
          </w:p>
        </w:tc>
      </w:tr>
      <w:tr>
        <w:trPr/>
        <w:tc>
          <w:tcPr>
            <w:tcW w:w="38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5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Net Losses on </w:t>
            </w:r>
          </w:p>
        </w:tc>
        <w:tc>
          <w:tcPr>
            <w:tcW w:w="326" w:type="dxa"/>
            <w:tcBorders/>
            <w:vAlign w:val="center"/>
          </w:tcPr>
          <w:p>
            <w:pPr>
              <w:pStyle w:val="TableContents"/>
              <w:bidi w:val="0"/>
              <w:spacing w:before="0" w:after="0"/>
              <w:ind w:left="0" w:right="0" w:hanging="0"/>
              <w:jc w:val="left"/>
              <w:rPr/>
            </w:pPr>
            <w:r>
              <w:rPr/>
              <w:t>    </w:t>
            </w:r>
          </w:p>
        </w:tc>
        <w:tc>
          <w:tcPr>
            <w:tcW w:w="1228"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Currency</w:t>
            </w:r>
          </w:p>
        </w:tc>
        <w:tc>
          <w:tcPr>
            <w:tcW w:w="326" w:type="dxa"/>
            <w:tcBorders/>
            <w:vAlign w:val="center"/>
          </w:tcPr>
          <w:p>
            <w:pPr>
              <w:pStyle w:val="TableContents"/>
              <w:bidi w:val="0"/>
              <w:spacing w:before="0" w:after="0"/>
              <w:ind w:left="0" w:right="0" w:hanging="0"/>
              <w:jc w:val="left"/>
              <w:rPr/>
            </w:pPr>
            <w:r>
              <w:rPr/>
              <w:t>    </w:t>
            </w:r>
          </w:p>
        </w:tc>
        <w:tc>
          <w:tcPr>
            <w:tcW w:w="1434"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Gains (Losses)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center"/>
              <w:rPr/>
            </w:pPr>
            <w:r>
              <w:rPr/>
              <w:t>​</w:t>
            </w:r>
          </w:p>
        </w:tc>
      </w:tr>
      <w:tr>
        <w:trPr/>
        <w:tc>
          <w:tcPr>
            <w:tcW w:w="38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5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Commodity </w:t>
            </w:r>
          </w:p>
        </w:tc>
        <w:tc>
          <w:tcPr>
            <w:tcW w:w="326" w:type="dxa"/>
            <w:tcBorders/>
            <w:vAlign w:val="center"/>
          </w:tcPr>
          <w:p>
            <w:pPr>
              <w:pStyle w:val="TableContents"/>
              <w:bidi w:val="0"/>
              <w:spacing w:before="0" w:after="0"/>
              <w:ind w:left="0" w:right="0" w:hanging="0"/>
              <w:jc w:val="left"/>
              <w:rPr/>
            </w:pPr>
            <w:r>
              <w:rPr/>
              <w:t>​</w:t>
            </w:r>
          </w:p>
        </w:tc>
        <w:tc>
          <w:tcPr>
            <w:tcW w:w="1228"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Translation</w:t>
            </w:r>
          </w:p>
        </w:tc>
        <w:tc>
          <w:tcPr>
            <w:tcW w:w="326" w:type="dxa"/>
            <w:tcBorders/>
            <w:vAlign w:val="center"/>
          </w:tcPr>
          <w:p>
            <w:pPr>
              <w:pStyle w:val="TableContents"/>
              <w:bidi w:val="0"/>
              <w:spacing w:before="0" w:after="0"/>
              <w:ind w:left="0" w:right="0" w:hanging="0"/>
              <w:jc w:val="center"/>
              <w:rPr/>
            </w:pPr>
            <w:r>
              <w:rPr/>
              <w:t>​</w:t>
            </w:r>
          </w:p>
        </w:tc>
        <w:tc>
          <w:tcPr>
            <w:tcW w:w="1434"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on Available-for-</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center"/>
              <w:rPr/>
            </w:pPr>
            <w:r>
              <w:rPr/>
              <w:t>​</w:t>
            </w:r>
          </w:p>
        </w:tc>
      </w:tr>
      <w:tr>
        <w:trPr/>
        <w:tc>
          <w:tcPr>
            <w:tcW w:w="38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Derivatives</w:t>
            </w:r>
          </w:p>
        </w:tc>
        <w:tc>
          <w:tcPr>
            <w:tcW w:w="326" w:type="dxa"/>
            <w:tcBorders/>
            <w:vAlign w:val="center"/>
          </w:tcPr>
          <w:p>
            <w:pPr>
              <w:pStyle w:val="TableContents"/>
              <w:bidi w:val="0"/>
              <w:spacing w:before="0" w:after="0"/>
              <w:ind w:left="0" w:right="0" w:hanging="0"/>
              <w:jc w:val="left"/>
              <w:rPr/>
            </w:pPr>
            <w:r>
              <w:rPr/>
              <w:t>    </w:t>
            </w:r>
          </w:p>
        </w:tc>
        <w:tc>
          <w:tcPr>
            <w:tcW w:w="12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Gains (Losses)</w:t>
            </w:r>
          </w:p>
        </w:tc>
        <w:tc>
          <w:tcPr>
            <w:tcW w:w="326" w:type="dxa"/>
            <w:tcBorders/>
            <w:vAlign w:val="center"/>
          </w:tcPr>
          <w:p>
            <w:pPr>
              <w:pStyle w:val="TableContents"/>
              <w:bidi w:val="0"/>
              <w:spacing w:before="0" w:after="0"/>
              <w:ind w:left="0" w:right="0" w:hanging="0"/>
              <w:jc w:val="left"/>
              <w:rPr/>
            </w:pPr>
            <w:r>
              <w:rPr/>
              <w:t>    </w:t>
            </w:r>
          </w:p>
        </w:tc>
        <w:tc>
          <w:tcPr>
            <w:tcW w:w="14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Sale Securities</w:t>
            </w:r>
          </w:p>
        </w:tc>
        <w:tc>
          <w:tcPr>
            <w:tcW w:w="326" w:type="dxa"/>
            <w:tcBorders/>
            <w:vAlign w:val="center"/>
          </w:tcPr>
          <w:p>
            <w:pPr>
              <w:pStyle w:val="TableContents"/>
              <w:bidi w:val="0"/>
              <w:spacing w:before="0" w:after="0"/>
              <w:ind w:left="0" w:right="0" w:hanging="0"/>
              <w:jc w:val="left"/>
              <w:rPr/>
            </w:pPr>
            <w:r>
              <w:rPr/>
              <w:t>    </w:t>
            </w:r>
          </w:p>
        </w:tc>
        <w:tc>
          <w:tcPr>
            <w:tcW w:w="11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3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(153,230)</w:t>
            </w:r>
          </w:p>
        </w:tc>
        <w:tc>
          <w:tcPr>
            <w:tcW w:w="326" w:type="dxa"/>
            <w:tcBorders/>
            <w:shd w:fill="CCEEFF" w:val="clear"/>
            <w:vAlign w:val="center"/>
          </w:tcPr>
          <w:p>
            <w:pPr>
              <w:pStyle w:val="TableContents"/>
              <w:bidi w:val="0"/>
              <w:spacing w:before="0" w:after="0"/>
              <w:ind w:left="0" w:right="0" w:hanging="0"/>
              <w:jc w:val="right"/>
              <w:rPr/>
            </w:pPr>
            <w:r>
              <w:rPr/>
              <w:t>​</w:t>
            </w:r>
          </w:p>
        </w:tc>
        <w:tc>
          <w:tcPr>
            <w:tcW w:w="3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(5,843)</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(159,073)</w:t>
            </w:r>
          </w:p>
        </w:tc>
      </w:tr>
      <w:tr>
        <w:trPr/>
        <w:tc>
          <w:tcPr>
            <w:tcW w:w="3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before reclassifications</w:t>
            </w:r>
          </w:p>
        </w:tc>
        <w:tc>
          <w:tcPr>
            <w:tcW w:w="326" w:type="dxa"/>
            <w:tcBorders/>
            <w:vAlign w:val="center"/>
          </w:tcPr>
          <w:p>
            <w:pPr>
              <w:pStyle w:val="TableContents"/>
              <w:bidi w:val="0"/>
              <w:spacing w:before="0" w:after="0"/>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(1,266)</w:t>
            </w:r>
          </w:p>
        </w:tc>
        <w:tc>
          <w:tcPr>
            <w:tcW w:w="326" w:type="dxa"/>
            <w:tcBorders/>
            <w:vAlign w:val="center"/>
          </w:tcPr>
          <w:p>
            <w:pPr>
              <w:pStyle w:val="TableContents"/>
              <w:bidi w:val="0"/>
              <w:spacing w:before="0" w:after="0"/>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2,206</w:t>
            </w:r>
          </w:p>
        </w:tc>
        <w:tc>
          <w:tcPr>
            <w:tcW w:w="326" w:type="dxa"/>
            <w:tcBorders/>
            <w:vAlign w:val="center"/>
          </w:tcPr>
          <w:p>
            <w:pPr>
              <w:pStyle w:val="TableContents"/>
              <w:bidi w:val="0"/>
              <w:spacing w:before="0" w:after="0"/>
              <w:ind w:left="0" w:right="0" w:hanging="0"/>
              <w:jc w:val="right"/>
              <w:rPr/>
            </w:pPr>
            <w:r>
              <w:rPr/>
              <w:t>​</w:t>
            </w:r>
          </w:p>
        </w:tc>
        <w:tc>
          <w:tcPr>
            <w:tcW w:w="36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2,408</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3,348</w:t>
            </w:r>
          </w:p>
        </w:tc>
      </w:tr>
      <w:tr>
        <w:trPr/>
        <w:tc>
          <w:tcPr>
            <w:tcW w:w="3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current-period other comprehensive (loss) gain</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(1,266)</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2,206</w:t>
            </w:r>
          </w:p>
        </w:tc>
        <w:tc>
          <w:tcPr>
            <w:tcW w:w="326" w:type="dxa"/>
            <w:tcBorders/>
            <w:shd w:fill="CCEEFF" w:val="clear"/>
            <w:vAlign w:val="center"/>
          </w:tcPr>
          <w:p>
            <w:pPr>
              <w:pStyle w:val="TableContents"/>
              <w:bidi w:val="0"/>
              <w:spacing w:before="0" w:after="0"/>
              <w:ind w:left="0" w:right="0" w:hanging="0"/>
              <w:jc w:val="right"/>
              <w:rPr/>
            </w:pPr>
            <w:r>
              <w:rPr/>
              <w:t>​</w:t>
            </w:r>
          </w:p>
        </w:tc>
        <w:tc>
          <w:tcPr>
            <w:tcW w:w="3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2,408</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3,348</w:t>
            </w:r>
          </w:p>
        </w:tc>
      </w:tr>
      <w:tr>
        <w:trPr/>
        <w:tc>
          <w:tcPr>
            <w:tcW w:w="3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2023</w:t>
            </w:r>
          </w:p>
        </w:tc>
        <w:tc>
          <w:tcPr>
            <w:tcW w:w="326" w:type="dxa"/>
            <w:tcBorders/>
            <w:vAlign w:val="center"/>
          </w:tcPr>
          <w:p>
            <w:pPr>
              <w:pStyle w:val="TableContents"/>
              <w:bidi w:val="0"/>
              <w:spacing w:before="0" w:after="0"/>
              <w:ind w:left="0" w:right="0" w:hanging="0"/>
              <w:jc w:val="left"/>
              <w:rPr/>
            </w:pPr>
            <w:r>
              <w:rPr/>
              <w:t>​</w:t>
            </w:r>
          </w:p>
        </w:tc>
        <w:tc>
          <w:tcPr>
            <w:tcW w:w="3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(1,266)</w:t>
            </w:r>
          </w:p>
        </w:tc>
        <w:tc>
          <w:tcPr>
            <w:tcW w:w="326" w:type="dxa"/>
            <w:tcBorders/>
            <w:vAlign w:val="center"/>
          </w:tcPr>
          <w:p>
            <w:pPr>
              <w:pStyle w:val="TableContents"/>
              <w:bidi w:val="0"/>
              <w:spacing w:before="0" w:after="0"/>
              <w:ind w:left="0" w:right="0" w:hanging="0"/>
              <w:jc w:val="left"/>
              <w:rPr/>
            </w:pPr>
            <w:r>
              <w:rPr/>
              <w:t>​</w:t>
            </w:r>
          </w:p>
        </w:tc>
        <w:tc>
          <w:tcPr>
            <w:tcW w:w="2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(151,024)</w:t>
            </w:r>
          </w:p>
        </w:tc>
        <w:tc>
          <w:tcPr>
            <w:tcW w:w="326" w:type="dxa"/>
            <w:tcBorders/>
            <w:vAlign w:val="center"/>
          </w:tcPr>
          <w:p>
            <w:pPr>
              <w:pStyle w:val="TableContents"/>
              <w:bidi w:val="0"/>
              <w:spacing w:before="0" w:after="0"/>
              <w:ind w:left="0" w:right="0" w:hanging="0"/>
              <w:jc w:val="right"/>
              <w:rPr/>
            </w:pPr>
            <w:r>
              <w:rPr/>
              <w:t>​</w:t>
            </w:r>
          </w:p>
        </w:tc>
        <w:tc>
          <w:tcPr>
            <w:tcW w:w="36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(3,435)</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(155,725)</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902"/>
        <w:gridCol w:w="326"/>
        <w:gridCol w:w="480"/>
        <w:gridCol w:w="787"/>
        <w:gridCol w:w="326"/>
        <w:gridCol w:w="211"/>
        <w:gridCol w:w="895"/>
        <w:gridCol w:w="326"/>
        <w:gridCol w:w="367"/>
        <w:gridCol w:w="1105"/>
        <w:gridCol w:w="326"/>
        <w:gridCol w:w="211"/>
        <w:gridCol w:w="943"/>
      </w:tblGrid>
      <w:tr>
        <w:trPr/>
        <w:tc>
          <w:tcPr>
            <w:tcW w:w="390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07010" cy="175260"/>
                      <wp:effectExtent l="0" t="0" r="0" b="0"/>
                      <wp:wrapNone/>
                      <wp:docPr id="322" name="Frame3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304800" cy="175260"/>
                      <wp:effectExtent l="0" t="0" r="0" b="0"/>
                      <wp:wrapNone/>
                      <wp:docPr id="323" name="Frame323"/>
                      <a:graphic xmlns:a="http://schemas.openxmlformats.org/drawingml/2006/main">
                        <a:graphicData uri="http://schemas.microsoft.com/office/word/2010/wordprocessingShape">
                          <wps:wsp>
                            <wps:cNvSpPr txBox="1"/>
                            <wps:spPr>
                              <a:xfrm>
                                <a:off x="0" y="0"/>
                                <a:ext cx="304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499745" cy="175260"/>
                      <wp:effectExtent l="0" t="0" r="0" b="0"/>
                      <wp:wrapNone/>
                      <wp:docPr id="324" name="Frame324"/>
                      <a:graphic xmlns:a="http://schemas.openxmlformats.org/drawingml/2006/main">
                        <a:graphicData uri="http://schemas.microsoft.com/office/word/2010/wordprocessingShape">
                          <wps:wsp>
                            <wps:cNvSpPr txBox="1"/>
                            <wps:spPr>
                              <a:xfrm>
                                <a:off x="0" y="0"/>
                                <a:ext cx="499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07010" cy="175260"/>
                      <wp:effectExtent l="0" t="0" r="0" b="0"/>
                      <wp:wrapNone/>
                      <wp:docPr id="325" name="Frame3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133985" cy="175260"/>
                      <wp:effectExtent l="0" t="0" r="0" b="0"/>
                      <wp:wrapNone/>
                      <wp:docPr id="326" name="Frame3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568325" cy="175260"/>
                      <wp:effectExtent l="0" t="0" r="0" b="0"/>
                      <wp:wrapNone/>
                      <wp:docPr id="327" name="Frame327"/>
                      <a:graphic xmlns:a="http://schemas.openxmlformats.org/drawingml/2006/main">
                        <a:graphicData uri="http://schemas.microsoft.com/office/word/2010/wordprocessingShape">
                          <wps:wsp>
                            <wps:cNvSpPr txBox="1"/>
                            <wps:spPr>
                              <a:xfrm>
                                <a:off x="0" y="0"/>
                                <a:ext cx="568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07010" cy="175260"/>
                      <wp:effectExtent l="0" t="0" r="0" b="0"/>
                      <wp:wrapNone/>
                      <wp:docPr id="328" name="Frame3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33045" cy="175260"/>
                      <wp:effectExtent l="0" t="0" r="0" b="0"/>
                      <wp:wrapNone/>
                      <wp:docPr id="329" name="Frame329"/>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701675" cy="175260"/>
                      <wp:effectExtent l="0" t="0" r="0" b="0"/>
                      <wp:wrapNone/>
                      <wp:docPr id="330" name="Frame330"/>
                      <a:graphic xmlns:a="http://schemas.openxmlformats.org/drawingml/2006/main">
                        <a:graphicData uri="http://schemas.microsoft.com/office/word/2010/wordprocessingShape">
                          <wps:wsp>
                            <wps:cNvSpPr txBox="1"/>
                            <wps:spPr>
                              <a:xfrm>
                                <a:off x="0" y="0"/>
                                <a:ext cx="701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07010" cy="175260"/>
                      <wp:effectExtent l="0" t="0" r="0" b="0"/>
                      <wp:wrapNone/>
                      <wp:docPr id="331" name="Frame3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133985" cy="175260"/>
                      <wp:effectExtent l="0" t="0" r="0" b="0"/>
                      <wp:wrapNone/>
                      <wp:docPr id="332" name="Frame3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598805" cy="175260"/>
                      <wp:effectExtent l="0" t="0" r="0" b="0"/>
                      <wp:wrapNone/>
                      <wp:docPr id="333" name="Frame333"/>
                      <a:graphic xmlns:a="http://schemas.openxmlformats.org/drawingml/2006/main">
                        <a:graphicData uri="http://schemas.microsoft.com/office/word/2010/wordprocessingShape">
                          <wps:wsp>
                            <wps:cNvSpPr txBox="1"/>
                            <wps:spPr>
                              <a:xfrm>
                                <a:off x="0" y="0"/>
                                <a:ext cx="598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0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6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Accumulated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7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left"/>
              <w:rPr/>
            </w:pPr>
            <w:r>
              <w:rPr/>
              <w:t>​</w:t>
            </w:r>
          </w:p>
        </w:tc>
      </w:tr>
      <w:tr>
        <w:trPr/>
        <w:tc>
          <w:tcPr>
            <w:tcW w:w="390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6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Net Losses on </w:t>
            </w:r>
          </w:p>
        </w:tc>
        <w:tc>
          <w:tcPr>
            <w:tcW w:w="326" w:type="dxa"/>
            <w:tcBorders/>
            <w:vAlign w:val="center"/>
          </w:tcPr>
          <w:p>
            <w:pPr>
              <w:pStyle w:val="TableContents"/>
              <w:bidi w:val="0"/>
              <w:spacing w:before="0" w:after="0"/>
              <w:ind w:left="0" w:right="0" w:hanging="0"/>
              <w:jc w:val="left"/>
              <w:rPr/>
            </w:pPr>
            <w:r>
              <w:rPr/>
              <w:t>    </w:t>
            </w:r>
          </w:p>
        </w:tc>
        <w:tc>
          <w:tcPr>
            <w:tcW w:w="110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Currency</w:t>
            </w:r>
          </w:p>
        </w:tc>
        <w:tc>
          <w:tcPr>
            <w:tcW w:w="326" w:type="dxa"/>
            <w:tcBorders/>
            <w:vAlign w:val="center"/>
          </w:tcPr>
          <w:p>
            <w:pPr>
              <w:pStyle w:val="TableContents"/>
              <w:bidi w:val="0"/>
              <w:spacing w:before="0" w:after="0"/>
              <w:ind w:left="0" w:right="0" w:hanging="0"/>
              <w:jc w:val="center"/>
              <w:rPr/>
            </w:pPr>
            <w:r>
              <w:rPr/>
              <w:t>​</w:t>
            </w:r>
          </w:p>
        </w:tc>
        <w:tc>
          <w:tcPr>
            <w:tcW w:w="147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Losses</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center"/>
              <w:rPr/>
            </w:pPr>
            <w:r>
              <w:rPr/>
              <w:t>​</w:t>
            </w:r>
          </w:p>
        </w:tc>
      </w:tr>
      <w:tr>
        <w:trPr/>
        <w:tc>
          <w:tcPr>
            <w:tcW w:w="390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6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Commodity </w:t>
            </w:r>
          </w:p>
        </w:tc>
        <w:tc>
          <w:tcPr>
            <w:tcW w:w="326" w:type="dxa"/>
            <w:tcBorders/>
            <w:vAlign w:val="center"/>
          </w:tcPr>
          <w:p>
            <w:pPr>
              <w:pStyle w:val="TableContents"/>
              <w:bidi w:val="0"/>
              <w:spacing w:before="0" w:after="0"/>
              <w:ind w:left="0" w:right="0" w:hanging="0"/>
              <w:jc w:val="left"/>
              <w:rPr/>
            </w:pPr>
            <w:r>
              <w:rPr/>
              <w:t>    </w:t>
            </w:r>
          </w:p>
        </w:tc>
        <w:tc>
          <w:tcPr>
            <w:tcW w:w="110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Translation</w:t>
            </w:r>
          </w:p>
        </w:tc>
        <w:tc>
          <w:tcPr>
            <w:tcW w:w="326" w:type="dxa"/>
            <w:tcBorders/>
            <w:vAlign w:val="center"/>
          </w:tcPr>
          <w:p>
            <w:pPr>
              <w:pStyle w:val="TableContents"/>
              <w:bidi w:val="0"/>
              <w:spacing w:before="0" w:after="0"/>
              <w:ind w:left="0" w:right="0" w:hanging="0"/>
              <w:jc w:val="left"/>
              <w:rPr/>
            </w:pPr>
            <w:r>
              <w:rPr/>
              <w:t>    </w:t>
            </w:r>
          </w:p>
        </w:tc>
        <w:tc>
          <w:tcPr>
            <w:tcW w:w="147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on Available-for-</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center"/>
              <w:rPr/>
            </w:pPr>
            <w:r>
              <w:rPr/>
              <w:t>​</w:t>
            </w:r>
          </w:p>
        </w:tc>
      </w:tr>
      <w:tr>
        <w:trPr/>
        <w:tc>
          <w:tcPr>
            <w:tcW w:w="390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Derivatives</w:t>
            </w:r>
          </w:p>
        </w:tc>
        <w:tc>
          <w:tcPr>
            <w:tcW w:w="326" w:type="dxa"/>
            <w:tcBorders/>
            <w:vAlign w:val="center"/>
          </w:tcPr>
          <w:p>
            <w:pPr>
              <w:pStyle w:val="TableContents"/>
              <w:bidi w:val="0"/>
              <w:spacing w:before="0" w:after="0"/>
              <w:ind w:left="0" w:right="0" w:hanging="0"/>
              <w:jc w:val="left"/>
              <w:rPr/>
            </w:pPr>
            <w:r>
              <w:rPr/>
              <w:t>    </w:t>
            </w:r>
          </w:p>
        </w:tc>
        <w:tc>
          <w:tcPr>
            <w:tcW w:w="11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Losses</w:t>
            </w:r>
          </w:p>
        </w:tc>
        <w:tc>
          <w:tcPr>
            <w:tcW w:w="326" w:type="dxa"/>
            <w:tcBorders/>
            <w:vAlign w:val="center"/>
          </w:tcPr>
          <w:p>
            <w:pPr>
              <w:pStyle w:val="TableContents"/>
              <w:bidi w:val="0"/>
              <w:spacing w:before="0" w:after="0"/>
              <w:ind w:left="0" w:right="0" w:hanging="0"/>
              <w:jc w:val="left"/>
              <w:rPr/>
            </w:pPr>
            <w:r>
              <w:rPr/>
              <w:t>    </w:t>
            </w:r>
          </w:p>
        </w:tc>
        <w:tc>
          <w:tcPr>
            <w:tcW w:w="14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Sale Securities</w:t>
            </w:r>
          </w:p>
        </w:tc>
        <w:tc>
          <w:tcPr>
            <w:tcW w:w="326" w:type="dxa"/>
            <w:tcBorders/>
            <w:vAlign w:val="center"/>
          </w:tcPr>
          <w:p>
            <w:pPr>
              <w:pStyle w:val="TableContents"/>
              <w:bidi w:val="0"/>
              <w:spacing w:before="0" w:after="0"/>
              <w:ind w:left="0" w:right="0" w:hanging="0"/>
              <w:jc w:val="left"/>
              <w:rPr/>
            </w:pPr>
            <w:r>
              <w:rPr/>
              <w:t>    </w:t>
            </w:r>
          </w:p>
        </w:tc>
        <w:tc>
          <w:tcPr>
            <w:tcW w:w="11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39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2021</w:t>
            </w:r>
          </w:p>
        </w:tc>
        <w:tc>
          <w:tcPr>
            <w:tcW w:w="326" w:type="dxa"/>
            <w:tcBorders/>
            <w:shd w:fill="CCEEFF" w:val="clear"/>
            <w:vAlign w:val="center"/>
          </w:tcPr>
          <w:p>
            <w:pPr>
              <w:pStyle w:val="TableContents"/>
              <w:bidi w:val="0"/>
              <w:spacing w:before="0" w:after="0"/>
              <w:ind w:left="0" w:right="0" w:hanging="0"/>
              <w:jc w:val="left"/>
              <w:rPr/>
            </w:pPr>
            <w:r>
              <w:rPr/>
              <w:t>​</w:t>
            </w:r>
          </w:p>
        </w:tc>
        <w:tc>
          <w:tcPr>
            <w:tcW w:w="4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(68,209)</w:t>
            </w:r>
          </w:p>
        </w:tc>
        <w:tc>
          <w:tcPr>
            <w:tcW w:w="326" w:type="dxa"/>
            <w:tcBorders/>
            <w:shd w:fill="CCEEFF" w:val="clear"/>
            <w:vAlign w:val="center"/>
          </w:tcPr>
          <w:p>
            <w:pPr>
              <w:pStyle w:val="TableContents"/>
              <w:bidi w:val="0"/>
              <w:spacing w:before="0" w:after="0"/>
              <w:ind w:left="0" w:right="0" w:hanging="0"/>
              <w:jc w:val="right"/>
              <w:rPr/>
            </w:pPr>
            <w:r>
              <w:rPr/>
              <w:t>​</w:t>
            </w:r>
          </w:p>
        </w:tc>
        <w:tc>
          <w:tcPr>
            <w:tcW w:w="3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(956)</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(69,165)</w:t>
            </w:r>
          </w:p>
        </w:tc>
      </w:tr>
      <w:tr>
        <w:trPr/>
        <w:tc>
          <w:tcPr>
            <w:tcW w:w="39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 before reclassifications</w:t>
            </w:r>
          </w:p>
        </w:tc>
        <w:tc>
          <w:tcPr>
            <w:tcW w:w="326" w:type="dxa"/>
            <w:tcBorders/>
            <w:vAlign w:val="center"/>
          </w:tcPr>
          <w:p>
            <w:pPr>
              <w:pStyle w:val="TableContents"/>
              <w:bidi w:val="0"/>
              <w:spacing w:before="0" w:after="0"/>
              <w:ind w:left="0" w:right="0" w:hanging="0"/>
              <w:jc w:val="left"/>
              <w:rPr/>
            </w:pPr>
            <w:r>
              <w:rPr/>
              <w:t>​</w:t>
            </w:r>
          </w:p>
        </w:tc>
        <w:tc>
          <w:tcPr>
            <w:tcW w:w="4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(78,628)</w:t>
            </w:r>
          </w:p>
        </w:tc>
        <w:tc>
          <w:tcPr>
            <w:tcW w:w="326" w:type="dxa"/>
            <w:tcBorders/>
            <w:vAlign w:val="center"/>
          </w:tcPr>
          <w:p>
            <w:pPr>
              <w:pStyle w:val="TableContents"/>
              <w:bidi w:val="0"/>
              <w:spacing w:before="0" w:after="0"/>
              <w:ind w:left="0" w:right="0" w:hanging="0"/>
              <w:jc w:val="right"/>
              <w:rPr/>
            </w:pPr>
            <w:r>
              <w:rPr/>
              <w:t>​</w:t>
            </w:r>
          </w:p>
        </w:tc>
        <w:tc>
          <w:tcPr>
            <w:tcW w:w="36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(5,164)</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(83,792)</w:t>
            </w:r>
          </w:p>
        </w:tc>
      </w:tr>
      <w:tr>
        <w:trPr/>
        <w:tc>
          <w:tcPr>
            <w:tcW w:w="39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current-period other comprehensive loss</w:t>
            </w:r>
          </w:p>
        </w:tc>
        <w:tc>
          <w:tcPr>
            <w:tcW w:w="326" w:type="dxa"/>
            <w:tcBorders/>
            <w:shd w:fill="CCEEFF" w:val="clear"/>
            <w:vAlign w:val="center"/>
          </w:tcPr>
          <w:p>
            <w:pPr>
              <w:pStyle w:val="TableContents"/>
              <w:bidi w:val="0"/>
              <w:spacing w:before="0" w:after="0"/>
              <w:ind w:left="0" w:right="0" w:hanging="0"/>
              <w:jc w:val="left"/>
              <w:rPr/>
            </w:pPr>
            <w:r>
              <w:rPr/>
              <w:t>​</w:t>
            </w:r>
          </w:p>
        </w:tc>
        <w:tc>
          <w:tcPr>
            <w:tcW w:w="4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(78,628)</w:t>
            </w:r>
          </w:p>
        </w:tc>
        <w:tc>
          <w:tcPr>
            <w:tcW w:w="326" w:type="dxa"/>
            <w:tcBorders/>
            <w:shd w:fill="CCEEFF" w:val="clear"/>
            <w:vAlign w:val="center"/>
          </w:tcPr>
          <w:p>
            <w:pPr>
              <w:pStyle w:val="TableContents"/>
              <w:bidi w:val="0"/>
              <w:spacing w:before="0" w:after="0"/>
              <w:ind w:left="0" w:right="0" w:hanging="0"/>
              <w:jc w:val="righ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(5,164)</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(83,792)</w:t>
            </w:r>
          </w:p>
        </w:tc>
      </w:tr>
      <w:tr>
        <w:trPr/>
        <w:tc>
          <w:tcPr>
            <w:tcW w:w="39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2022</w:t>
            </w:r>
          </w:p>
        </w:tc>
        <w:tc>
          <w:tcPr>
            <w:tcW w:w="326" w:type="dxa"/>
            <w:tcBorders/>
            <w:vAlign w:val="center"/>
          </w:tcPr>
          <w:p>
            <w:pPr>
              <w:pStyle w:val="TableContents"/>
              <w:bidi w:val="0"/>
              <w:spacing w:before="0" w:after="0"/>
              <w:ind w:left="0" w:right="0" w:hanging="0"/>
              <w:jc w:val="left"/>
              <w:rPr/>
            </w:pPr>
            <w:r>
              <w:rPr/>
              <w:t>​</w:t>
            </w:r>
          </w:p>
        </w:tc>
        <w:tc>
          <w:tcPr>
            <w:tcW w:w="48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(146,837)</w:t>
            </w:r>
          </w:p>
        </w:tc>
        <w:tc>
          <w:tcPr>
            <w:tcW w:w="326" w:type="dxa"/>
            <w:tcBorders/>
            <w:vAlign w:val="center"/>
          </w:tcPr>
          <w:p>
            <w:pPr>
              <w:pStyle w:val="TableContents"/>
              <w:bidi w:val="0"/>
              <w:spacing w:before="0" w:after="0"/>
              <w:ind w:left="0" w:right="0" w:hanging="0"/>
              <w:jc w:val="right"/>
              <w:rPr/>
            </w:pPr>
            <w:r>
              <w:rPr/>
              <w:t>​</w:t>
            </w:r>
          </w:p>
        </w:tc>
        <w:tc>
          <w:tcPr>
            <w:tcW w:w="36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(6,120)</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(152,957)</w:t>
            </w:r>
          </w:p>
        </w:tc>
      </w:tr>
    </w:tbl>
    <w:p>
      <w:pPr>
        <w:pStyle w:val="TextBody"/>
        <w:pBdr/>
        <w:bidi w:val="0"/>
        <w:spacing w:before="0" w:after="240"/>
        <w:ind w:left="0" w:right="0" w:hanging="720"/>
        <w:jc w:val="left"/>
        <w:rPr/>
      </w:pPr>
      <w:r>
        <w:rPr/>
        <w:t>​</w:t>
      </w:r>
    </w:p>
    <w:p>
      <w:pPr>
        <w:pStyle w:val="TextBody"/>
        <w:bidi w:val="0"/>
        <w:spacing w:before="0" w:after="0"/>
        <w:ind w:left="0" w:right="0" w:hanging="0"/>
        <w:jc w:val="left"/>
        <w:rPr/>
      </w:pPr>
      <w:r>
        <w:rPr/>
        <w:t>​</w:t>
      </w:r>
    </w:p>
    <w:tbl>
      <w:tblPr>
        <w:tblW w:w="2222" w:type="dxa"/>
        <w:jc w:val="left"/>
        <w:tblInd w:w="0" w:type="dxa"/>
        <w:tblLayout w:type="fixed"/>
        <w:tblCellMar>
          <w:top w:w="0" w:type="dxa"/>
          <w:left w:w="0" w:type="dxa"/>
          <w:bottom w:w="0" w:type="dxa"/>
          <w:right w:w="0" w:type="dxa"/>
        </w:tblCellMar>
      </w:tblPr>
      <w:tblGrid>
        <w:gridCol w:w="376"/>
        <w:gridCol w:w="1846"/>
      </w:tblGrid>
      <w:tr>
        <w:trPr/>
        <w:tc>
          <w:tcPr>
            <w:tcW w:w="37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13.</w:t>
            </w:r>
          </w:p>
        </w:tc>
        <w:tc>
          <w:tcPr>
            <w:tcW w:w="184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TREASURY STOCK</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March 10, 2023, the Company retired 170.0 million shares (stock split adjusted) of treasury stock owned by the Company. The retired stock had a carrying value of approximately$4.69 billion. The Company’s accounting policy upon the formal retirement of treasury stock is to deduct its par value from common stock and to reflect any excess of cost over par as a deduction from retained earnings.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June 14, 2022, the Company’s Board of Directors authorized a share repurchase program for the purchase of up to $500.0 million of the Company’s outstanding common stock (the “June 2022 Repurchase Plan”). During the three-months ended June 30, 2023, no shares were repurchased under the June 2022 Repurchase Plan. As of August 4, 2023, $182.8 million remained available for repurchase under the June 2022 Repurchase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November 2, 2022, the Company’s Board of Directors authorized a share repurchase program for the purchase of up to an additional $500.0 million of the Company’s outstanding common stock (the “November 2022 Repurchase Plan”). During the three-months ended June 30, 2023, no shares were repurchased under the November 2022 Repurchase Plan. As of August 4, 2023, $500.0 million remained available for repurchase under the November 2022 Repurchase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aggregate amount of the Company’s outstanding common stock that remains available for repurchase under all previously authorized repurchase plans is $682.8 million as of August 4, 2023.</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During the three-months ended June 30, 2023, 7,579 shares of common stock were purchased from employees in lieu of cash payments for options exercised or withholding taxes due for a total amount of $0.4 million. While such purchases are considered common stock repurchases, they are not counted as purchases against the Company’s authorized share repurchase programs. Such shares are included in common stock in treasury in the accompanying consolidated balance sheet at June 30, 2023.</w:t>
      </w:r>
    </w:p>
    <w:p>
      <w:pPr>
        <w:pStyle w:val="TextBody"/>
        <w:bidi w:val="0"/>
        <w:spacing w:before="0" w:after="0"/>
        <w:ind w:left="0" w:right="0" w:hanging="0"/>
        <w:jc w:val="left"/>
        <w:rPr/>
      </w:pPr>
      <w:r>
        <w:rPr/>
        <w:t>​</w:t>
      </w:r>
    </w:p>
    <w:tbl>
      <w:tblPr>
        <w:tblW w:w="3392" w:type="dxa"/>
        <w:jc w:val="left"/>
        <w:tblInd w:w="0" w:type="dxa"/>
        <w:tblLayout w:type="fixed"/>
        <w:tblCellMar>
          <w:top w:w="0" w:type="dxa"/>
          <w:left w:w="0" w:type="dxa"/>
          <w:bottom w:w="0" w:type="dxa"/>
          <w:right w:w="0" w:type="dxa"/>
        </w:tblCellMar>
      </w:tblPr>
      <w:tblGrid>
        <w:gridCol w:w="376"/>
        <w:gridCol w:w="3016"/>
      </w:tblGrid>
      <w:tr>
        <w:trPr/>
        <w:tc>
          <w:tcPr>
            <w:tcW w:w="37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14.</w:t>
            </w:r>
          </w:p>
        </w:tc>
        <w:tc>
          <w:tcPr>
            <w:tcW w:w="301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STOCK-BASED COMPENSATION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has two stock-based compensation plans under which shares were available for grant at June 30, 2023: (i) the Monster Beverage Corporation 2020 Omnibus Incentive Plan, including the Monster Beverage Corporation Deferred Compensation Plan as a sub-plan thereunder, and (ii) the Monster Beverage Corporation 2017 Compensation Plan for Non-Employee Directors as Amended and Restated on February 23, 2022, including the Monster Beverage Corporation Deferred Compensation Plan for Non-Employee Directors as a sub-plan thereunder.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recorded $18.6 million and $16.3 million of compensation expense relating to outstanding options, restricted stock units, performance share units and other share-based awards during the three-months ended June 30, 2023 and 2022, respectively. The Company recorded $34.6 million and $32.6 million of compensation expense relating to outstanding options, restricted stock units, performance share units and other share-based awards during the six-months ended June 30, 2023 and 2022,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tax benefit for tax deductions from non-qualified stock option exercises, disqualifying dispositions of incentive stock options and vesting of restricted stock units and performance share units for the three-months ended June 30, 2023 and 2022 was $4.1 million and $2.2 million, respectively. The tax benefit for tax deductions from non-qualified stock option exercises, disqualifying dispositions of incentive stock options and vesting of restricted stock units and performance share units for the six-months ended June 30, 2023 and 2022 was $30.0 million and $2.7 million, respectively.</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Stock Options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Company’s stock-based compensation plans, all stock options granted as of June 30, 2023 were granted at prices based on the fair value of the Company’s common stock on the date of grant. The Company records compensation expense for stock options based on the estimated fair value of the options on the date of grant using the Black-Scholes-Merton option pricing formula with the assumptions included in the table below. The Company uses historical data to determine the exercise behavior, volatility and forfeiture rate of the options.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bookmarkStart w:id="1812" w:name="Tc_En-NG_OIi0Sceszgsu3Iew_14_9"/>
      <w:bookmarkStart w:id="1813" w:name="Tc_iNhmlA_YJkmSjaXN2Mhuvg_14_4"/>
      <w:bookmarkStart w:id="1814" w:name="Tc_U3BwYcHlTE-Ll6Y4sSJ-PA_14_0"/>
      <w:bookmarkStart w:id="1815" w:name="Tc_Q7JNGfZ5E0mM7n0zRZsEig_13_9"/>
      <w:bookmarkStart w:id="1816" w:name="Tc_Dlrp1NcoJ0C3hS1CQg1L7w_13_4"/>
      <w:bookmarkStart w:id="1817" w:name="Tc_ZPmM4ZzPXUC5NtbP7nwgSA_13_0"/>
      <w:bookmarkStart w:id="1818" w:name="Tc_SKDsSOGT1kilY3c1D4NQbQ_12_9"/>
      <w:bookmarkStart w:id="1819" w:name="Tc_n4OzYQWHxE2JIFnuTbg2pg_12_4"/>
      <w:bookmarkStart w:id="1820" w:name="Tc_wU3GLYKCgkunzQ3Awxs3aw_12_0"/>
      <w:bookmarkStart w:id="1821" w:name="Tc_2iTvd81CmEuyHjw8MDVP6g_11_4"/>
      <w:bookmarkStart w:id="1822" w:name="Tc_YsFw0XKlx0SnAoH-ynzvnw_11_0"/>
      <w:bookmarkStart w:id="1823" w:name="Tc_3uyaXsNaakG21uDU74XcjA_10_4"/>
      <w:bookmarkStart w:id="1824" w:name="Tc_qmyYGy8A_kKmGiHEzCpvJg_10_0"/>
      <w:bookmarkStart w:id="1825" w:name="Tc_H6B3O8mliEK1caAVCAqPVQ_9_4"/>
      <w:bookmarkStart w:id="1826" w:name="Tc_Ieo-DDuK2Um_fGoON9dvJQ_9_0"/>
      <w:bookmarkStart w:id="1827" w:name="Tc_tmlXrGKxf0KCr8qTTgE_7g_8_4"/>
      <w:bookmarkStart w:id="1828" w:name="Tc_gA-l6tN_GEuEXqCSLt2u1g_8_0"/>
      <w:bookmarkStart w:id="1829" w:name="Tc_OjTHYVuYUEO1tydLI-fEBg_7_9"/>
      <w:bookmarkStart w:id="1830" w:name="Tc_ZZnc8ePoyEim2NMQbhOq4Q_7_4"/>
      <w:bookmarkStart w:id="1831" w:name="Tc_LIhJYazXMUqv6j9B4tOZfw_7_0"/>
      <w:bookmarkStart w:id="1832" w:name="Tc_yimJwNUxEkK2N2e8FNDItQ_6_9"/>
      <w:bookmarkStart w:id="1833" w:name="Tc_tjyESIAZAEaC0FexFN57Nw_6_7"/>
      <w:bookmarkStart w:id="1834" w:name="Tc_UD6GiyovZUqM35Y0HfFXgQ_6_4"/>
      <w:bookmarkStart w:id="1835" w:name="Tc_pcSsmyEOakeNEqU_llIanw_6_2"/>
      <w:bookmarkStart w:id="1836" w:name="Tc_6_enenpfv0OJw0KE_tZiwA_6_0"/>
      <w:bookmarkStart w:id="1837" w:name="Tc_83SgMGJX8UyoKniVEb22Og_5_9"/>
      <w:bookmarkStart w:id="1838" w:name="Tc_mm_99lPpykShCJZAqzfMYg_5_7"/>
      <w:bookmarkStart w:id="1839" w:name="Tc_04UA8wZOCUiDFzhzzGX_xw_5_4"/>
      <w:bookmarkStart w:id="1840" w:name="Tc_s-WPkceOB022gESJSYHIsQ_5_2"/>
      <w:bookmarkStart w:id="1841" w:name="Tc_rXIYXsO3fU6WAn_Rb5tIBg_4_7"/>
      <w:bookmarkStart w:id="1842" w:name="Tc_Uulbkw5IIkWTHHtrdGl_Cg_4_4"/>
      <w:bookmarkStart w:id="1843" w:name="Tc_-bYPMFNA60uFqyQH_44-Hg_4_2"/>
      <w:bookmarkStart w:id="1844" w:name="Tc_p202053-e0a0_A98P-u3_g_3_7"/>
      <w:bookmarkStart w:id="1845" w:name="Tc_XbXqPkz09kCmgTismxKW8A_3_4"/>
      <w:bookmarkStart w:id="1846" w:name="Tc_kR6aT25XpkC15zy9EbK-mg_2_7"/>
      <w:bookmarkStart w:id="1847" w:name="Tc_HAL3Gzwi206PtEtnl5OAHA_2_4"/>
      <w:bookmarkStart w:id="1848" w:name="Tc_N_kJmY0dEUifl5VH9QrcCg_1_7"/>
      <w:bookmarkStart w:id="1849" w:name="Tc_v1ZAF1QIlUWpyzdfsqoqKg_6_8"/>
      <w:bookmarkStart w:id="1850" w:name="Tc_Yn-yEOEsU0isc86k5fPYlA_6_6"/>
      <w:bookmarkStart w:id="1851" w:name="Tc_5bPvg_dSQEKOyuu4cKw-6g_6_4"/>
      <w:bookmarkStart w:id="1852" w:name="Tc_bTRWB_ytikWs0koWRo4o0g_6_2"/>
      <w:bookmarkStart w:id="1853" w:name="Tc_0i1sdF3c6ka2JUy81qF0SQ_6_0"/>
      <w:bookmarkStart w:id="1854" w:name="Tc_GMk-vx87yEGkLX56uFpL5g_5_9"/>
      <w:bookmarkStart w:id="1855" w:name="Tc_ozafsaUcKkOBmT5cxHLzUg_5_7"/>
      <w:bookmarkStart w:id="1856" w:name="Tc_WaXhZ_0RSki2-Zgqrzz3TQ_5_5"/>
      <w:bookmarkStart w:id="1857" w:name="Tc_P2bWo75_aE2lpdY6ml8tgw_5_3"/>
      <w:bookmarkStart w:id="1858" w:name="Tc_rDTiOWa1DECE4mjNO1QqLg_5_0"/>
      <w:bookmarkStart w:id="1859" w:name="Tc_pUO3waAJE0eSNAgpOCoq0g_4_9"/>
      <w:bookmarkStart w:id="1860" w:name="Tc_t478qR5sekmXikFWIUN2EA_4_7"/>
      <w:bookmarkStart w:id="1861" w:name="Tc_WThwD4rRDkGIW0q4Snhjgw_4_5"/>
      <w:bookmarkStart w:id="1862" w:name="Tc_eiDOkmOlk0C12clFsh2H4A_4_3"/>
      <w:bookmarkStart w:id="1863" w:name="Tc_PenWqof0HUyOA6SryCXx0g_4_0"/>
      <w:bookmarkStart w:id="1864" w:name="Tc_erGoKVAJ9E68tZeWkhP4Sg_3_9"/>
      <w:bookmarkStart w:id="1865" w:name="Tc_EqkXx4IeR0WdFcUezNHalg_3_7"/>
      <w:bookmarkStart w:id="1866" w:name="Tc_eO_gNjgfRUCbZ23B2BQ_ag_3_5"/>
      <w:bookmarkStart w:id="1867" w:name="Tc_1i9sY1221EOO4fiPLHT1iw_3_3"/>
      <w:bookmarkStart w:id="1868" w:name="Tc_JfTN-3NOckejGQJ28Un4RA_3_0"/>
      <w:bookmarkStart w:id="1869" w:name="Tc_cnQZboZhCkyEtY4fw4BWUg_2_8"/>
      <w:bookmarkStart w:id="1870" w:name="Tc_rP0lyiuKlkGZvnrUStu8ng_2_6"/>
      <w:bookmarkStart w:id="1871" w:name="Tc_2jDgil2MikWY3RcVXC5vJw_2_4"/>
      <w:bookmarkStart w:id="1872" w:name="Tc_X2SrOmJHGEG7gi_tNvnKcA_2_2"/>
      <w:bookmarkStart w:id="1873" w:name="Tc_sp-Ab3yX8ESECo4Oi_LA7w_1_6"/>
      <w:bookmarkStart w:id="1874" w:name="Tc_ZyHmR1lgnEaYUwdO2SZL7A_1_2"/>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r>
        <w:rPr>
          <w:rFonts w:ascii="Times New Roman;Times;serif" w:hAnsi="Times New Roman;Times;serif"/>
          <w:sz w:val="20"/>
        </w:rPr>
        <w:t>The following weighted-average assumptions were used to estimate the fair value of options granted during:</w:t>
      </w:r>
    </w:p>
    <w:p>
      <w:pPr>
        <w:pStyle w:val="TextBody"/>
        <w:bidi w:val="0"/>
        <w:spacing w:before="0" w:after="0"/>
        <w:ind w:left="0" w:right="0" w:firstLine="720"/>
        <w:jc w:val="both"/>
        <w:rPr/>
      </w:pPr>
      <w:r>
        <w:rPr/>
        <w:t>​</w:t>
      </w:r>
    </w:p>
    <w:tbl>
      <w:tblPr>
        <w:tblW w:w="7662" w:type="dxa"/>
        <w:jc w:val="left"/>
        <w:tblInd w:w="0" w:type="dxa"/>
        <w:tblLayout w:type="fixed"/>
        <w:tblCellMar>
          <w:top w:w="0" w:type="dxa"/>
          <w:left w:w="0" w:type="dxa"/>
          <w:bottom w:w="0" w:type="dxa"/>
          <w:right w:w="0" w:type="dxa"/>
        </w:tblCellMar>
      </w:tblPr>
      <w:tblGrid>
        <w:gridCol w:w="1846"/>
        <w:gridCol w:w="326"/>
        <w:gridCol w:w="1046"/>
        <w:gridCol w:w="457"/>
        <w:gridCol w:w="1046"/>
        <w:gridCol w:w="271"/>
        <w:gridCol w:w="983"/>
        <w:gridCol w:w="388"/>
        <w:gridCol w:w="983"/>
        <w:gridCol w:w="316"/>
      </w:tblGrid>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left"/>
              <w:rPr/>
            </w:pPr>
            <w:r>
              <w:rPr/>
              <w:t>​</w:t>
            </w:r>
          </w:p>
        </w:tc>
        <w:tc>
          <w:tcPr>
            <w:tcW w:w="457"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left"/>
              <w:rPr/>
            </w:pPr>
            <w:r>
              <w:rPr/>
              <w:t>​</w:t>
            </w:r>
          </w:p>
        </w:tc>
        <w:tc>
          <w:tcPr>
            <w:tcW w:w="388"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4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 June 30,</w:t>
            </w:r>
          </w:p>
        </w:tc>
        <w:tc>
          <w:tcPr>
            <w:tcW w:w="271" w:type="dxa"/>
            <w:tcBorders/>
            <w:vAlign w:val="center"/>
          </w:tcPr>
          <w:p>
            <w:pPr>
              <w:pStyle w:val="TableContents"/>
              <w:bidi w:val="0"/>
              <w:spacing w:before="0" w:after="0"/>
              <w:ind w:left="0" w:right="0" w:hanging="0"/>
              <w:jc w:val="left"/>
              <w:rPr/>
            </w:pPr>
            <w:r>
              <w:rPr/>
              <w:t>​</w:t>
            </w:r>
          </w:p>
        </w:tc>
        <w:tc>
          <w:tcPr>
            <w:tcW w:w="235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Six-Months Ended June 30,</w:t>
            </w:r>
          </w:p>
        </w:tc>
        <w:tc>
          <w:tcPr>
            <w:tcW w:w="316"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457" w:type="dxa"/>
            <w:tcBorders/>
            <w:vAlign w:val="center"/>
          </w:tcPr>
          <w:p>
            <w:pPr>
              <w:pStyle w:val="TableContents"/>
              <w:bidi w:val="0"/>
              <w:spacing w:before="0" w:after="0"/>
              <w:ind w:left="0" w:right="0" w:hanging="0"/>
              <w:jc w:val="left"/>
              <w:rPr/>
            </w:pPr>
            <w:r>
              <w:rPr/>
              <w:t>    </w:t>
            </w:r>
          </w:p>
        </w:tc>
        <w:tc>
          <w:tcPr>
            <w:tcW w:w="10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c>
          <w:tcPr>
            <w:tcW w:w="271" w:type="dxa"/>
            <w:tcBorders/>
            <w:vAlign w:val="center"/>
          </w:tcPr>
          <w:p>
            <w:pPr>
              <w:pStyle w:val="TableContents"/>
              <w:bidi w:val="0"/>
              <w:spacing w:before="0" w:after="0"/>
              <w:ind w:left="0" w:right="0" w:hanging="0"/>
              <w:jc w:val="left"/>
              <w:rPr/>
            </w:pPr>
            <w:r>
              <w:rPr/>
              <w:t>​</w:t>
            </w:r>
          </w:p>
        </w:tc>
        <w:tc>
          <w:tcPr>
            <w:tcW w:w="98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88" w:type="dxa"/>
            <w:tcBorders/>
            <w:vAlign w:val="center"/>
          </w:tcPr>
          <w:p>
            <w:pPr>
              <w:pStyle w:val="TableContents"/>
              <w:bidi w:val="0"/>
              <w:spacing w:before="0" w:after="0"/>
              <w:ind w:left="0" w:right="0" w:hanging="0"/>
              <w:jc w:val="left"/>
              <w:rPr/>
            </w:pPr>
            <w:r>
              <w:rPr/>
              <w:t>    </w:t>
            </w:r>
          </w:p>
        </w:tc>
        <w:tc>
          <w:tcPr>
            <w:tcW w:w="98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c>
          <w:tcPr>
            <w:tcW w:w="316" w:type="dxa"/>
            <w:tcBorders/>
            <w:vAlign w:val="center"/>
          </w:tcPr>
          <w:p>
            <w:pPr>
              <w:pStyle w:val="TableContents"/>
              <w:bidi w:val="0"/>
              <w:spacing w:before="0" w:after="0"/>
              <w:ind w:left="0" w:right="0" w:hanging="0"/>
              <w:jc w:val="left"/>
              <w:rPr/>
            </w:pPr>
            <w:r>
              <w:rPr/>
              <w:t>​</w:t>
            </w:r>
          </w:p>
        </w:tc>
      </w:tr>
      <w:tr>
        <w:trPr/>
        <w:tc>
          <w:tcPr>
            <w:tcW w:w="18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326"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4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26"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w:t>
            </w:r>
          </w:p>
        </w:tc>
        <w:tc>
          <w:tcPr>
            <w:tcW w:w="4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w:t>
            </w:r>
          </w:p>
        </w:tc>
        <w:tc>
          <w:tcPr>
            <w:tcW w:w="3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26"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4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w:t>
            </w:r>
          </w:p>
        </w:tc>
        <w:tc>
          <w:tcPr>
            <w:tcW w:w="326"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 years</w:t>
            </w:r>
          </w:p>
        </w:tc>
        <w:tc>
          <w:tcPr>
            <w:tcW w:w="457"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 years</w:t>
            </w:r>
          </w:p>
        </w:tc>
        <w:tc>
          <w:tcPr>
            <w:tcW w:w="271"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 years</w:t>
            </w:r>
          </w:p>
        </w:tc>
        <w:tc>
          <w:tcPr>
            <w:tcW w:w="388"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 years</w:t>
            </w:r>
          </w:p>
        </w:tc>
        <w:tc>
          <w:tcPr>
            <w:tcW w:w="31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Expected Volatility</w:t>
      </w:r>
      <w:r>
        <w:rPr>
          <w:rFonts w:ascii="Times New Roman;Times;serif" w:hAnsi="Times New Roman;Times;serif"/>
          <w:sz w:val="20"/>
        </w:rPr>
        <w:t>: The Company uses historical volatility as it provides a reasonable estimate of the expected volatility. Historical volatility is based on the most recent volatility of the stock price over a period of time equivalent to the expected term of the option.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Risk-Free Interest Rate</w:t>
      </w:r>
      <w:r>
        <w:rPr>
          <w:rFonts w:ascii="Times New Roman;Times;serif" w:hAnsi="Times New Roman;Times;serif"/>
          <w:sz w:val="20"/>
        </w:rPr>
        <w:t>: The risk-free interest rate is based on the U.S. treasury zero-coupon yield curve in effect at the time of grant for the expected term of the option.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Expected Term</w:t>
      </w:r>
      <w:r>
        <w:rPr>
          <w:rFonts w:ascii="Times New Roman;Times;serif" w:hAnsi="Times New Roman;Times;serif"/>
          <w:sz w:val="20"/>
        </w:rPr>
        <w:t>: The Company’s expected term represents the weighted-average period that the Company’s stock options are expected to be outstanding. The expected term is based on the expected time to post-vesting exercise of options by employees. The Company uses historical exercise patterns of previously granted options to derive employee behavioral patterns used to forecast expected exercise patterns.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summarizes the Company’s activities with respect to its stock option plans as follows:</w:t>
      </w:r>
    </w:p>
    <w:p>
      <w:pPr>
        <w:pStyle w:val="TextBody"/>
        <w:bidi w:val="0"/>
        <w:spacing w:before="0" w:after="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4559"/>
        <w:gridCol w:w="326"/>
        <w:gridCol w:w="986"/>
        <w:gridCol w:w="326"/>
        <w:gridCol w:w="257"/>
        <w:gridCol w:w="698"/>
        <w:gridCol w:w="326"/>
        <w:gridCol w:w="1066"/>
        <w:gridCol w:w="326"/>
        <w:gridCol w:w="255"/>
        <w:gridCol w:w="1080"/>
      </w:tblGrid>
      <w:tr>
        <w:trPr/>
        <w:tc>
          <w:tcPr>
            <w:tcW w:w="45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894965" cy="175260"/>
                      <wp:effectExtent l="0" t="0" r="0" b="0"/>
                      <wp:wrapNone/>
                      <wp:docPr id="334" name="Frame334"/>
                      <a:graphic xmlns:a="http://schemas.openxmlformats.org/drawingml/2006/main">
                        <a:graphicData uri="http://schemas.microsoft.com/office/word/2010/wordprocessingShape">
                          <wps:wsp>
                            <wps:cNvSpPr txBox="1"/>
                            <wps:spPr>
                              <a:xfrm>
                                <a:off x="0" y="0"/>
                                <a:ext cx="2894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07010" cy="175260"/>
                      <wp:effectExtent l="0" t="0" r="0" b="0"/>
                      <wp:wrapNone/>
                      <wp:docPr id="335" name="Frame3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26110" cy="175260"/>
                      <wp:effectExtent l="0" t="0" r="0" b="0"/>
                      <wp:wrapNone/>
                      <wp:docPr id="336" name="Frame336"/>
                      <a:graphic xmlns:a="http://schemas.openxmlformats.org/drawingml/2006/main">
                        <a:graphicData uri="http://schemas.microsoft.com/office/word/2010/wordprocessingShape">
                          <wps:wsp>
                            <wps:cNvSpPr txBox="1"/>
                            <wps:spPr>
                              <a:xfrm>
                                <a:off x="0" y="0"/>
                                <a:ext cx="626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07010" cy="175260"/>
                      <wp:effectExtent l="0" t="0" r="0" b="0"/>
                      <wp:wrapNone/>
                      <wp:docPr id="337" name="Frame3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163195" cy="175260"/>
                      <wp:effectExtent l="0" t="0" r="0" b="0"/>
                      <wp:wrapNone/>
                      <wp:docPr id="338" name="Frame338"/>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443230" cy="175260"/>
                      <wp:effectExtent l="0" t="0" r="0" b="0"/>
                      <wp:wrapNone/>
                      <wp:docPr id="339" name="Frame339"/>
                      <a:graphic xmlns:a="http://schemas.openxmlformats.org/drawingml/2006/main">
                        <a:graphicData uri="http://schemas.microsoft.com/office/word/2010/wordprocessingShape">
                          <wps:wsp>
                            <wps:cNvSpPr txBox="1"/>
                            <wps:spPr>
                              <a:xfrm>
                                <a:off x="0" y="0"/>
                                <a:ext cx="443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07010" cy="175260"/>
                      <wp:effectExtent l="0" t="0" r="0" b="0"/>
                      <wp:wrapNone/>
                      <wp:docPr id="340" name="Frame3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76910" cy="175260"/>
                      <wp:effectExtent l="0" t="0" r="0" b="0"/>
                      <wp:wrapNone/>
                      <wp:docPr id="341" name="Frame341"/>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07010" cy="175260"/>
                      <wp:effectExtent l="0" t="0" r="0" b="0"/>
                      <wp:wrapNone/>
                      <wp:docPr id="342" name="Frame3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161925" cy="175260"/>
                      <wp:effectExtent l="0" t="0" r="0" b="0"/>
                      <wp:wrapNone/>
                      <wp:docPr id="343" name="Frame343"/>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85800" cy="175260"/>
                      <wp:effectExtent l="0" t="0" r="0" b="0"/>
                      <wp:wrapNone/>
                      <wp:docPr id="344" name="Frame344"/>
                      <a:graphic xmlns:a="http://schemas.openxmlformats.org/drawingml/2006/main">
                        <a:graphicData uri="http://schemas.microsoft.com/office/word/2010/wordprocessingShape">
                          <wps:wsp>
                            <wps:cNvSpPr txBox="1"/>
                            <wps:spPr>
                              <a:xfrm>
                                <a:off x="0" y="0"/>
                                <a:ext cx="685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5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Weighted-</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1080" w:type="dxa"/>
            <w:tcBorders/>
            <w:vAlign w:val="center"/>
          </w:tcPr>
          <w:p>
            <w:pPr>
              <w:pStyle w:val="TableContents"/>
              <w:bidi w:val="0"/>
              <w:spacing w:before="0" w:after="0"/>
              <w:ind w:left="0" w:right="0" w:hanging="0"/>
              <w:jc w:val="center"/>
              <w:rPr/>
            </w:pPr>
            <w:r>
              <w:rPr/>
              <w:t>​</w:t>
            </w:r>
          </w:p>
        </w:tc>
      </w:tr>
      <w:tr>
        <w:trPr/>
        <w:tc>
          <w:tcPr>
            <w:tcW w:w="455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5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Weighted-</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Average</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1080" w:type="dxa"/>
            <w:tcBorders/>
            <w:vAlign w:val="center"/>
          </w:tcPr>
          <w:p>
            <w:pPr>
              <w:pStyle w:val="TableContents"/>
              <w:bidi w:val="0"/>
              <w:spacing w:before="0" w:after="0"/>
              <w:ind w:left="0" w:right="0" w:hanging="0"/>
              <w:jc w:val="center"/>
              <w:rPr/>
            </w:pPr>
            <w:r>
              <w:rPr/>
              <w:t>​</w:t>
            </w:r>
          </w:p>
        </w:tc>
      </w:tr>
      <w:tr>
        <w:trPr/>
        <w:tc>
          <w:tcPr>
            <w:tcW w:w="455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5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Average</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Remaining</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1080" w:type="dxa"/>
            <w:tcBorders/>
            <w:vAlign w:val="center"/>
          </w:tcPr>
          <w:p>
            <w:pPr>
              <w:pStyle w:val="TableContents"/>
              <w:bidi w:val="0"/>
              <w:spacing w:before="0" w:after="0"/>
              <w:ind w:left="0" w:right="0" w:hanging="0"/>
              <w:jc w:val="center"/>
              <w:rPr/>
            </w:pPr>
            <w:r>
              <w:rPr/>
              <w:t>​</w:t>
            </w:r>
          </w:p>
        </w:tc>
      </w:tr>
      <w:tr>
        <w:trPr/>
        <w:tc>
          <w:tcPr>
            <w:tcW w:w="455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Number of</w:t>
            </w:r>
          </w:p>
        </w:tc>
        <w:tc>
          <w:tcPr>
            <w:tcW w:w="326" w:type="dxa"/>
            <w:tcBorders/>
            <w:vAlign w:val="center"/>
          </w:tcPr>
          <w:p>
            <w:pPr>
              <w:pStyle w:val="TableContents"/>
              <w:bidi w:val="0"/>
              <w:spacing w:before="0" w:after="0"/>
              <w:ind w:left="0" w:right="0" w:hanging="0"/>
              <w:jc w:val="left"/>
              <w:rPr/>
            </w:pPr>
            <w:r>
              <w:rPr/>
              <w:t>​</w:t>
            </w:r>
          </w:p>
        </w:tc>
        <w:tc>
          <w:tcPr>
            <w:tcW w:w="95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Exercise</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Contractual</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center"/>
              <w:rPr/>
            </w:pPr>
            <w:r>
              <w:rPr/>
              <w:t>​</w:t>
            </w:r>
          </w:p>
        </w:tc>
        <w:tc>
          <w:tcPr>
            <w:tcW w:w="1080" w:type="dxa"/>
            <w:tcBorders/>
            <w:vAlign w:val="center"/>
          </w:tcPr>
          <w:p>
            <w:pPr>
              <w:pStyle w:val="TableContents"/>
              <w:bidi w:val="0"/>
              <w:spacing w:before="0" w:after="0"/>
              <w:ind w:left="0" w:right="0" w:hanging="0"/>
              <w:jc w:val="center"/>
              <w:rPr/>
            </w:pPr>
            <w:r>
              <w:rPr/>
              <w:t>​</w:t>
            </w:r>
          </w:p>
        </w:tc>
      </w:tr>
      <w:tr>
        <w:trPr/>
        <w:tc>
          <w:tcPr>
            <w:tcW w:w="455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Shares (in</w:t>
            </w:r>
          </w:p>
        </w:tc>
        <w:tc>
          <w:tcPr>
            <w:tcW w:w="326" w:type="dxa"/>
            <w:tcBorders/>
            <w:vAlign w:val="center"/>
          </w:tcPr>
          <w:p>
            <w:pPr>
              <w:pStyle w:val="TableContents"/>
              <w:bidi w:val="0"/>
              <w:spacing w:before="0" w:after="0"/>
              <w:ind w:left="0" w:right="0" w:hanging="0"/>
              <w:jc w:val="left"/>
              <w:rPr/>
            </w:pPr>
            <w:r>
              <w:rPr/>
              <w:t>​</w:t>
            </w:r>
          </w:p>
        </w:tc>
        <w:tc>
          <w:tcPr>
            <w:tcW w:w="95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Price Per</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Term (in</w:t>
            </w:r>
          </w:p>
        </w:tc>
        <w:tc>
          <w:tcPr>
            <w:tcW w:w="326" w:type="dxa"/>
            <w:tcBorders/>
            <w:vAlign w:val="center"/>
          </w:tcPr>
          <w:p>
            <w:pPr>
              <w:pStyle w:val="TableContents"/>
              <w:bidi w:val="0"/>
              <w:spacing w:before="0" w:after="0"/>
              <w:ind w:left="0" w:right="0" w:hanging="0"/>
              <w:jc w:val="left"/>
              <w:rPr/>
            </w:pPr>
            <w:r>
              <w:rPr/>
              <w:t>​</w:t>
            </w:r>
          </w:p>
        </w:tc>
        <w:tc>
          <w:tcPr>
            <w:tcW w:w="133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Aggregate</w:t>
            </w:r>
          </w:p>
        </w:tc>
      </w:tr>
      <w:tr>
        <w:trPr/>
        <w:tc>
          <w:tcPr>
            <w:tcW w:w="455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Options</w:t>
            </w:r>
          </w:p>
        </w:tc>
        <w:tc>
          <w:tcPr>
            <w:tcW w:w="326" w:type="dxa"/>
            <w:tcBorders/>
            <w:vAlign w:val="center"/>
          </w:tcPr>
          <w:p>
            <w:pPr>
              <w:pStyle w:val="TableContents"/>
              <w:bidi w:val="0"/>
              <w:spacing w:before="0" w:after="0"/>
              <w:ind w:left="0" w:right="0" w:hanging="0"/>
              <w:jc w:val="left"/>
              <w:rPr/>
            </w:pPr>
            <w:r>
              <w:rPr/>
              <w:t>    </w:t>
            </w:r>
          </w:p>
        </w:tc>
        <w:tc>
          <w:tcPr>
            <w:tcW w:w="9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thousands)</w:t>
            </w:r>
          </w:p>
        </w:tc>
        <w:tc>
          <w:tcPr>
            <w:tcW w:w="326" w:type="dxa"/>
            <w:tcBorders/>
            <w:vAlign w:val="center"/>
          </w:tcPr>
          <w:p>
            <w:pPr>
              <w:pStyle w:val="TableContents"/>
              <w:bidi w:val="0"/>
              <w:spacing w:before="0" w:after="0"/>
              <w:ind w:left="0" w:right="0" w:hanging="0"/>
              <w:jc w:val="left"/>
              <w:rPr/>
            </w:pPr>
            <w:r>
              <w:rPr/>
              <w:t>    </w:t>
            </w:r>
          </w:p>
        </w:tc>
        <w:tc>
          <w:tcPr>
            <w:tcW w:w="9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Share</w:t>
            </w:r>
          </w:p>
        </w:tc>
        <w:tc>
          <w:tcPr>
            <w:tcW w:w="326" w:type="dxa"/>
            <w:tcBorders/>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years)</w:t>
            </w:r>
          </w:p>
        </w:tc>
        <w:tc>
          <w:tcPr>
            <w:tcW w:w="326" w:type="dxa"/>
            <w:tcBorders/>
            <w:vAlign w:val="center"/>
          </w:tcPr>
          <w:p>
            <w:pPr>
              <w:pStyle w:val="TableContents"/>
              <w:bidi w:val="0"/>
              <w:spacing w:before="0" w:after="0"/>
              <w:ind w:left="0" w:right="0" w:hanging="0"/>
              <w:jc w:val="left"/>
              <w:rPr/>
            </w:pPr>
            <w:r>
              <w:rPr/>
              <w:t>    </w:t>
            </w:r>
          </w:p>
        </w:tc>
        <w:tc>
          <w:tcPr>
            <w:tcW w:w="13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Intrinsic Value</w:t>
            </w:r>
          </w:p>
        </w:tc>
      </w:tr>
      <w:tr>
        <w:trPr/>
        <w:tc>
          <w:tcPr>
            <w:tcW w:w="45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January 1, 2023</w:t>
            </w:r>
          </w:p>
        </w:tc>
        <w:tc>
          <w:tcPr>
            <w:tcW w:w="326" w:type="dxa"/>
            <w:tcBorders/>
            <w:shd w:fill="CCEEFF" w:val="clear"/>
            <w:vAlign w:val="center"/>
          </w:tcPr>
          <w:p>
            <w:pPr>
              <w:pStyle w:val="TableContents"/>
              <w:bidi w:val="0"/>
              <w:spacing w:before="0" w:after="0"/>
              <w:ind w:left="0" w:right="0" w:hanging="0"/>
              <w:jc w:val="left"/>
              <w:rPr/>
            </w:pPr>
            <w:r>
              <w:rPr/>
              <w:t> </w:t>
            </w:r>
          </w:p>
        </w:tc>
        <w:tc>
          <w:tcPr>
            <w:tcW w:w="9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29,710</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26.38</w:t>
            </w:r>
          </w:p>
        </w:tc>
        <w:tc>
          <w:tcPr>
            <w:tcW w:w="326"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724,651</w:t>
            </w:r>
          </w:p>
        </w:tc>
      </w:tr>
      <w:tr>
        <w:trPr/>
        <w:tc>
          <w:tcPr>
            <w:tcW w:w="45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 01/01/23 - 03/31/23</w:t>
            </w:r>
          </w:p>
        </w:tc>
        <w:tc>
          <w:tcPr>
            <w:tcW w:w="326" w:type="dxa"/>
            <w:tcBorders/>
            <w:vAlign w:val="center"/>
          </w:tcPr>
          <w:p>
            <w:pPr>
              <w:pStyle w:val="TableContents"/>
              <w:bidi w:val="0"/>
              <w:spacing w:before="0" w:after="0"/>
              <w:ind w:left="0" w:right="0" w:hanging="0"/>
              <w:jc w:val="left"/>
              <w:rPr/>
            </w:pPr>
            <w:r>
              <w:rPr/>
              <w:t> </w:t>
            </w:r>
          </w:p>
        </w:tc>
        <w:tc>
          <w:tcPr>
            <w:tcW w:w="9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3,962</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50.82</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1080" w:type="dxa"/>
            <w:tcBorders/>
            <w:vAlign w:val="center"/>
          </w:tcPr>
          <w:p>
            <w:pPr>
              <w:pStyle w:val="TableContents"/>
              <w:bidi w:val="0"/>
              <w:spacing w:before="0" w:after="0"/>
              <w:ind w:left="0" w:right="0" w:hanging="0"/>
              <w:jc w:val="left"/>
              <w:rPr/>
            </w:pPr>
            <w:r>
              <w:rPr/>
              <w:t>​</w:t>
            </w:r>
          </w:p>
        </w:tc>
      </w:tr>
      <w:tr>
        <w:trPr/>
        <w:tc>
          <w:tcPr>
            <w:tcW w:w="45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 04/01/23 - 06/30/23</w:t>
            </w:r>
          </w:p>
        </w:tc>
        <w:tc>
          <w:tcPr>
            <w:tcW w:w="326" w:type="dxa"/>
            <w:tcBorders/>
            <w:shd w:fill="CCEEFF" w:val="clear"/>
            <w:vAlign w:val="center"/>
          </w:tcPr>
          <w:p>
            <w:pPr>
              <w:pStyle w:val="TableContents"/>
              <w:bidi w:val="0"/>
              <w:spacing w:before="0" w:after="0"/>
              <w:ind w:left="0" w:right="0" w:hanging="0"/>
              <w:jc w:val="left"/>
              <w:rPr/>
            </w:pPr>
            <w:r>
              <w:rPr/>
              <w:t> </w:t>
            </w:r>
          </w:p>
        </w:tc>
        <w:tc>
          <w:tcPr>
            <w:tcW w:w="9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59.36</w:t>
            </w:r>
          </w:p>
        </w:tc>
        <w:tc>
          <w:tcPr>
            <w:tcW w:w="326"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1080" w:type="dxa"/>
            <w:tcBorders/>
            <w:shd w:fill="CCEEFF" w:val="clear"/>
            <w:vAlign w:val="center"/>
          </w:tcPr>
          <w:p>
            <w:pPr>
              <w:pStyle w:val="TableContents"/>
              <w:bidi w:val="0"/>
              <w:spacing w:before="0" w:after="0"/>
              <w:ind w:left="0" w:right="0" w:hanging="0"/>
              <w:jc w:val="left"/>
              <w:rPr/>
            </w:pPr>
            <w:r>
              <w:rPr/>
              <w:t>​</w:t>
            </w:r>
          </w:p>
        </w:tc>
      </w:tr>
      <w:tr>
        <w:trPr/>
        <w:tc>
          <w:tcPr>
            <w:tcW w:w="45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vAlign w:val="center"/>
          </w:tcPr>
          <w:p>
            <w:pPr>
              <w:pStyle w:val="TableContents"/>
              <w:bidi w:val="0"/>
              <w:spacing w:before="0" w:after="0"/>
              <w:ind w:left="0" w:right="0" w:hanging="0"/>
              <w:jc w:val="left"/>
              <w:rPr/>
            </w:pPr>
            <w:r>
              <w:rPr/>
              <w:t> </w:t>
            </w:r>
          </w:p>
        </w:tc>
        <w:tc>
          <w:tcPr>
            <w:tcW w:w="9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(3,990)</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14.95</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1080" w:type="dxa"/>
            <w:tcBorders/>
            <w:vAlign w:val="center"/>
          </w:tcPr>
          <w:p>
            <w:pPr>
              <w:pStyle w:val="TableContents"/>
              <w:bidi w:val="0"/>
              <w:spacing w:before="0" w:after="0"/>
              <w:ind w:left="0" w:right="0" w:hanging="0"/>
              <w:jc w:val="left"/>
              <w:rPr/>
            </w:pPr>
            <w:r>
              <w:rPr/>
              <w:t>​</w:t>
            </w:r>
          </w:p>
        </w:tc>
      </w:tr>
      <w:tr>
        <w:trPr/>
        <w:tc>
          <w:tcPr>
            <w:tcW w:w="45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Cancelled or forfeited</w:t>
            </w:r>
          </w:p>
        </w:tc>
        <w:tc>
          <w:tcPr>
            <w:tcW w:w="326" w:type="dxa"/>
            <w:tcBorders/>
            <w:shd w:fill="CCEEFF" w:val="clear"/>
            <w:vAlign w:val="center"/>
          </w:tcPr>
          <w:p>
            <w:pPr>
              <w:pStyle w:val="TableContents"/>
              <w:bidi w:val="0"/>
              <w:spacing w:before="0" w:after="0"/>
              <w:ind w:left="0" w:right="0" w:hanging="0"/>
              <w:jc w:val="left"/>
              <w:rPr/>
            </w:pPr>
            <w:r>
              <w:rPr/>
              <w:t> </w:t>
            </w:r>
          </w:p>
        </w:tc>
        <w:tc>
          <w:tcPr>
            <w:tcW w:w="9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37.82</w:t>
            </w:r>
          </w:p>
        </w:tc>
        <w:tc>
          <w:tcPr>
            <w:tcW w:w="326"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1080" w:type="dxa"/>
            <w:tcBorders/>
            <w:shd w:fill="CCEEFF" w:val="clear"/>
            <w:vAlign w:val="center"/>
          </w:tcPr>
          <w:p>
            <w:pPr>
              <w:pStyle w:val="TableContents"/>
              <w:bidi w:val="0"/>
              <w:spacing w:before="0" w:after="0"/>
              <w:ind w:left="0" w:right="0" w:hanging="0"/>
              <w:jc w:val="left"/>
              <w:rPr/>
            </w:pPr>
            <w:r>
              <w:rPr/>
              <w:t>​</w:t>
            </w:r>
          </w:p>
        </w:tc>
      </w:tr>
      <w:tr>
        <w:trPr/>
        <w:tc>
          <w:tcPr>
            <w:tcW w:w="45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June 30, 2023</w:t>
            </w:r>
          </w:p>
        </w:tc>
        <w:tc>
          <w:tcPr>
            <w:tcW w:w="326" w:type="dxa"/>
            <w:tcBorders/>
            <w:vAlign w:val="center"/>
          </w:tcPr>
          <w:p>
            <w:pPr>
              <w:pStyle w:val="TableContents"/>
              <w:bidi w:val="0"/>
              <w:spacing w:before="0" w:after="0"/>
              <w:ind w:left="0" w:right="0" w:hanging="0"/>
              <w:jc w:val="left"/>
              <w:rPr/>
            </w:pPr>
            <w:r>
              <w:rPr/>
              <w:t> </w:t>
            </w:r>
          </w:p>
        </w:tc>
        <w:tc>
          <w:tcPr>
            <w:tcW w:w="9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29,491</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31.15</w:t>
            </w:r>
          </w:p>
        </w:tc>
        <w:tc>
          <w:tcPr>
            <w:tcW w:w="32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775,296</w:t>
            </w:r>
          </w:p>
        </w:tc>
      </w:tr>
      <w:tr>
        <w:trPr/>
        <w:tc>
          <w:tcPr>
            <w:tcW w:w="45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and expected to vest in the future at June 30, 2023</w:t>
            </w:r>
          </w:p>
        </w:tc>
        <w:tc>
          <w:tcPr>
            <w:tcW w:w="326" w:type="dxa"/>
            <w:tcBorders/>
            <w:shd w:fill="CCEEFF" w:val="clear"/>
            <w:vAlign w:val="center"/>
          </w:tcPr>
          <w:p>
            <w:pPr>
              <w:pStyle w:val="TableContents"/>
              <w:bidi w:val="0"/>
              <w:spacing w:before="0" w:after="0"/>
              <w:ind w:left="0" w:right="0" w:hanging="0"/>
              <w:jc w:val="left"/>
              <w:rPr/>
            </w:pPr>
            <w:r>
              <w:rPr/>
              <w:t>​</w:t>
            </w:r>
          </w:p>
        </w:tc>
        <w:tc>
          <w:tcPr>
            <w:tcW w:w="9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28,511</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30.71</w:t>
            </w:r>
          </w:p>
        </w:tc>
        <w:tc>
          <w:tcPr>
            <w:tcW w:w="326"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762,069</w:t>
            </w:r>
          </w:p>
        </w:tc>
      </w:tr>
      <w:tr>
        <w:trPr/>
        <w:tc>
          <w:tcPr>
            <w:tcW w:w="45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at June 30, 2023</w:t>
            </w:r>
          </w:p>
        </w:tc>
        <w:tc>
          <w:tcPr>
            <w:tcW w:w="326" w:type="dxa"/>
            <w:tcBorders/>
            <w:vAlign w:val="center"/>
          </w:tcPr>
          <w:p>
            <w:pPr>
              <w:pStyle w:val="TableContents"/>
              <w:bidi w:val="0"/>
              <w:spacing w:before="0" w:after="0"/>
              <w:ind w:left="0" w:right="0" w:hanging="0"/>
              <w:jc w:val="left"/>
              <w:rPr/>
            </w:pPr>
            <w:r>
              <w:rPr/>
              <w:t> </w:t>
            </w:r>
          </w:p>
        </w:tc>
        <w:tc>
          <w:tcPr>
            <w:tcW w:w="9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18,659</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24.70</w:t>
            </w:r>
          </w:p>
        </w:tc>
        <w:tc>
          <w:tcPr>
            <w:tcW w:w="32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0"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610,938</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weighted-average grant-date fair value of options granted during the three-months ended June 30, 2023 and 2022 was $21.14 per share and $14.96 per share, respectively. The weighted-average grant-date fair value of options granted during the six-months ended June 30, 2023 and 2022 was $18.25 per share and $11.62 per share,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total intrinsic value of options exercised during the three-months ended June 30, 2023 and 2022 was $26.9 million and $18.0 million, respectively. The total intrinsic value of options exercised during the six-months ended June 30, 2023 and 2022 was $157.9 million and $22.9 million,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Cash received from option exercises under all plans for the three-months ended June 30, 2023 and 2022 was $23.3 million and $18.1 million, respectively. Cash received from option exercises under all plans for the six-months ended June 30, 2023 and 2022 was $59.7 million and $22.6 million,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bookmarkStart w:id="1875" w:name="Tc_v_Qt4_02eEKYxKfFzss81A_10_4"/>
      <w:bookmarkStart w:id="1876" w:name="Tc_ayQKrddIy02SyMWLV3eX5w_10_0"/>
      <w:bookmarkStart w:id="1877" w:name="Tc_7Y9dmeoVf0CUYq4ijQ0oCA_9_4"/>
      <w:bookmarkStart w:id="1878" w:name="Tc_0vW5rq6KMUWNAihPFnKuSg_9_0"/>
      <w:bookmarkStart w:id="1879" w:name="Tc_mQtxG4P2v0q4YuEE5WaVrA_8_4"/>
      <w:bookmarkStart w:id="1880" w:name="Tc_zDjzxSUq4U2U8ckWhK4prA_8_0"/>
      <w:bookmarkStart w:id="1881" w:name="Tc_0hxyIDt7u0mLqOgPg3glaQ_7_4"/>
      <w:bookmarkStart w:id="1882" w:name="Tc_ExssBuJmzkiOClNtax8FkA_7_0"/>
      <w:bookmarkStart w:id="1883" w:name="Tc_Q8mFglX_kUqAzORF4jvxlA_6_4"/>
      <w:bookmarkStart w:id="1884" w:name="Tc_DmG2cm6j00Gv13G35cD5Pg_6_0"/>
      <w:bookmarkStart w:id="1885" w:name="Tc_qjkJzbcpgEWVYLWx-x5ESw_5_4"/>
      <w:bookmarkStart w:id="1886" w:name="Tc_HAAIo0TjskuPoRnYHzqPWw_5_0"/>
      <w:bookmarkStart w:id="1887" w:name="Tc_IiuinBoh_EijGFeSohkUlA_4_4"/>
      <w:bookmarkStart w:id="1888" w:name="Tc_cCDxibDqSkyeCdgYGZpzQQ_4_2"/>
      <w:bookmarkStart w:id="1889" w:name="Tc_o8wQS7QbFkShxfScSaD-lg_3_4"/>
      <w:bookmarkStart w:id="1890" w:name="Tc_lwIFX0Q0SEOxTlgsTSJgTw_3_2"/>
      <w:bookmarkStart w:id="1891" w:name="Tc_eJpHUt429USdmIZrpN3-bw_2_4"/>
      <w:bookmarkStart w:id="1892" w:name="Tc_-JUZf-kJeUu4v3wHbaTqcw_2_2"/>
      <w:bookmarkStart w:id="1893" w:name="Tc_uf4YjTPvCkau9QVhfZa6ug_1_4"/>
      <w:bookmarkStart w:id="1894" w:name="_ca0314b6_f814_41ad_8c96_66c4002846ac"/>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r>
        <w:rPr>
          <w:rFonts w:ascii="Times New Roman;Times;serif" w:hAnsi="Times New Roman;Times;serif"/>
          <w:sz w:val="20"/>
        </w:rPr>
        <w:t>At June 30, 2023, there was $115.6 million of total unrecognized compensation expense related to non-vested options granted to employees under the Company’s stock-based compensation plans. That cost is expected to be recognized over a weighted-average period of 3.4 years.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Restricted Stock Units and Performance Share Units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cost of stock-based compensation for restricted stock units and performance share units is measured based on the closing fair market value of the Company’s common stock at the date of grant. In the event that the Company has the option and intent to settle a restricted stock unit or performance share unit in cash, the award is classified as a liability and revalued at each balance sheet date.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summarizes the Company’s activities with respect to non-vested restricted stock units and performance share units as follows:</w:t>
      </w:r>
    </w:p>
    <w:p>
      <w:pPr>
        <w:pStyle w:val="TextBody"/>
        <w:bidi w:val="0"/>
        <w:spacing w:before="0" w:after="0"/>
        <w:ind w:left="0" w:right="0" w:firstLine="720"/>
        <w:jc w:val="both"/>
        <w:rPr/>
      </w:pPr>
      <w:r>
        <w:rPr/>
        <w:t>​</w:t>
      </w:r>
    </w:p>
    <w:tbl>
      <w:tblPr>
        <w:tblW w:w="5260" w:type="dxa"/>
        <w:jc w:val="left"/>
        <w:tblInd w:w="0" w:type="dxa"/>
        <w:tblLayout w:type="fixed"/>
        <w:tblCellMar>
          <w:top w:w="0" w:type="dxa"/>
          <w:left w:w="0" w:type="dxa"/>
          <w:bottom w:w="0" w:type="dxa"/>
          <w:right w:w="0" w:type="dxa"/>
        </w:tblCellMar>
      </w:tblPr>
      <w:tblGrid>
        <w:gridCol w:w="2581"/>
        <w:gridCol w:w="326"/>
        <w:gridCol w:w="991"/>
        <w:gridCol w:w="326"/>
        <w:gridCol w:w="246"/>
        <w:gridCol w:w="790"/>
      </w:tblGrid>
      <w:tr>
        <w:trPr/>
        <w:tc>
          <w:tcPr>
            <w:tcW w:w="25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07010" cy="175260"/>
                      <wp:effectExtent l="0" t="0" r="0" b="0"/>
                      <wp:wrapNone/>
                      <wp:docPr id="345" name="Frame3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29285" cy="175260"/>
                      <wp:effectExtent l="0" t="0" r="0" b="0"/>
                      <wp:wrapNone/>
                      <wp:docPr id="346" name="Frame346"/>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07010" cy="175260"/>
                      <wp:effectExtent l="0" t="0" r="0" b="0"/>
                      <wp:wrapNone/>
                      <wp:docPr id="347" name="Frame3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156210" cy="175260"/>
                      <wp:effectExtent l="0" t="0" r="0" b="0"/>
                      <wp:wrapNone/>
                      <wp:docPr id="348" name="Frame348"/>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501650" cy="175260"/>
                      <wp:effectExtent l="0" t="0" r="0" b="0"/>
                      <wp:wrapNone/>
                      <wp:docPr id="349" name="Frame349"/>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Weighted</w:t>
            </w:r>
          </w:p>
        </w:tc>
      </w:tr>
      <w:tr>
        <w:trPr/>
        <w:tc>
          <w:tcPr>
            <w:tcW w:w="25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Number of</w:t>
            </w:r>
          </w:p>
        </w:tc>
        <w:tc>
          <w:tcPr>
            <w:tcW w:w="326" w:type="dxa"/>
            <w:tcBorders/>
            <w:vAlign w:val="center"/>
          </w:tcPr>
          <w:p>
            <w:pPr>
              <w:pStyle w:val="TableContents"/>
              <w:bidi w:val="0"/>
              <w:spacing w:before="0" w:after="0"/>
              <w:ind w:left="0" w:right="0" w:hanging="0"/>
              <w:jc w:val="left"/>
              <w:rPr/>
            </w:pPr>
            <w:r>
              <w:rPr/>
              <w:t>​</w:t>
            </w:r>
          </w:p>
        </w:tc>
        <w:tc>
          <w:tcPr>
            <w:tcW w:w="103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Average</w:t>
            </w:r>
          </w:p>
        </w:tc>
      </w:tr>
      <w:tr>
        <w:trPr/>
        <w:tc>
          <w:tcPr>
            <w:tcW w:w="25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Shares (in</w:t>
            </w:r>
          </w:p>
        </w:tc>
        <w:tc>
          <w:tcPr>
            <w:tcW w:w="326" w:type="dxa"/>
            <w:tcBorders/>
            <w:vAlign w:val="center"/>
          </w:tcPr>
          <w:p>
            <w:pPr>
              <w:pStyle w:val="TableContents"/>
              <w:bidi w:val="0"/>
              <w:spacing w:before="0" w:after="0"/>
              <w:ind w:left="0" w:right="0" w:hanging="0"/>
              <w:jc w:val="left"/>
              <w:rPr/>
            </w:pPr>
            <w:r>
              <w:rPr/>
              <w:t>​</w:t>
            </w:r>
          </w:p>
        </w:tc>
        <w:tc>
          <w:tcPr>
            <w:tcW w:w="103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Grant-Date</w:t>
            </w:r>
          </w:p>
        </w:tc>
      </w:tr>
      <w:tr>
        <w:trPr/>
        <w:tc>
          <w:tcPr>
            <w:tcW w:w="25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thousands)</w:t>
            </w:r>
          </w:p>
        </w:tc>
        <w:tc>
          <w:tcPr>
            <w:tcW w:w="326" w:type="dxa"/>
            <w:tcBorders/>
            <w:vAlign w:val="center"/>
          </w:tcPr>
          <w:p>
            <w:pPr>
              <w:pStyle w:val="TableContents"/>
              <w:bidi w:val="0"/>
              <w:spacing w:before="0" w:after="0"/>
              <w:ind w:left="0" w:right="0" w:hanging="0"/>
              <w:jc w:val="left"/>
              <w:rPr/>
            </w:pPr>
            <w:r>
              <w:rPr/>
              <w:t>    </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Fair Value</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January 1, 2023</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36.27</w:t>
            </w:r>
          </w:p>
        </w:tc>
      </w:tr>
      <w:tr>
        <w:trPr/>
        <w:tc>
          <w:tcPr>
            <w:tcW w:w="258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Granted 01/01/23 - 03/31/23</w:t>
            </w:r>
            <w:r>
              <w:rPr>
                <w:rFonts w:ascii="Times New Roman;Times;serif" w:hAnsi="Times New Roman;Times;serif"/>
                <w:sz w:val="17"/>
              </w:rPr>
              <w:t>1</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48.49</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 04/01/23 - 06/30/23</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59.70</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32.80</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Forfeited/cancelled</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32.83</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June 30, 2023</w:t>
            </w:r>
          </w:p>
        </w:tc>
        <w:tc>
          <w:tcPr>
            <w:tcW w:w="326" w:type="dxa"/>
            <w:tcBorders/>
            <w:vAlign w:val="center"/>
          </w:tcPr>
          <w:p>
            <w:pPr>
              <w:pStyle w:val="TableContents"/>
              <w:bidi w:val="0"/>
              <w:spacing w:before="0" w:after="0"/>
              <w:ind w:left="0" w:right="0" w:hanging="0"/>
              <w:jc w:val="left"/>
              <w:rPr/>
            </w:pPr>
            <w:r>
              <w:rPr/>
              <w:t>​</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1,968</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40.85</w:t>
            </w:r>
          </w:p>
        </w:tc>
      </w:tr>
    </w:tbl>
    <w:p>
      <w:pPr>
        <w:pStyle w:val="TextBody"/>
        <w:bidi w:val="0"/>
        <w:spacing w:before="0" w:after="0"/>
        <w:ind w:left="0" w:right="0" w:firstLine="720"/>
        <w:jc w:val="left"/>
        <w:rPr/>
      </w:pPr>
      <w:r>
        <w:rPr/>
        <w:t>​</w:t>
      </w:r>
    </w:p>
    <w:p>
      <w:pPr>
        <w:pStyle w:val="TextBody"/>
        <w:bidi w:val="0"/>
        <w:spacing w:lineRule="auto" w:line="240" w:before="0" w:after="240"/>
        <w:ind w:left="0" w:right="0" w:firstLine="720"/>
        <w:jc w:val="both"/>
        <w:rPr>
          <w:rFonts w:ascii="Times New Roman;Times;serif" w:hAnsi="Times New Roman;Times;serif"/>
          <w:sz w:val="18"/>
        </w:rPr>
      </w:pPr>
      <w:r>
        <w:rPr>
          <w:rFonts w:ascii="Times New Roman;Times;serif" w:hAnsi="Times New Roman;Times;serif"/>
          <w:i/>
          <w:sz w:val="14"/>
        </w:rPr>
        <w:t>1</w:t>
      </w:r>
      <w:r>
        <w:rPr>
          <w:rFonts w:ascii="Times New Roman;Times;serif" w:hAnsi="Times New Roman;Times;serif"/>
          <w:i/>
          <w:sz w:val="18"/>
        </w:rPr>
        <w:t>The grant activity for performance share units is recorded based on the target performance level earning 100%</w:t>
      </w:r>
      <w:r>
        <w:rPr>
          <w:rFonts w:ascii="Times New Roman;Times;serif" w:hAnsi="Times New Roman;Times;serif"/>
          <w:sz w:val="18"/>
        </w:rPr>
        <w:t xml:space="preserve"> </w:t>
      </w:r>
      <w:r>
        <w:rPr>
          <w:rFonts w:ascii="Times New Roman;Times;serif" w:hAnsi="Times New Roman;Times;serif"/>
          <w:i/>
          <w:sz w:val="18"/>
        </w:rPr>
        <w:t>of target performance share units. The actual number of performance share units earned could range from 0%</w:t>
      </w:r>
      <w:r>
        <w:rPr>
          <w:rFonts w:ascii="Times New Roman;Times;serif" w:hAnsi="Times New Roman;Times;serif"/>
          <w:sz w:val="18"/>
        </w:rPr>
        <w:t xml:space="preserve"> </w:t>
      </w:r>
      <w:r>
        <w:rPr>
          <w:rFonts w:ascii="Times New Roman;Times;serif" w:hAnsi="Times New Roman;Times;serif"/>
          <w:i/>
          <w:sz w:val="18"/>
        </w:rPr>
        <w:t>to 200%</w:t>
      </w:r>
      <w:r>
        <w:rPr>
          <w:rFonts w:ascii="Times New Roman;Times;serif" w:hAnsi="Times New Roman;Times;serif"/>
          <w:sz w:val="18"/>
        </w:rPr>
        <w:t xml:space="preserve"> </w:t>
      </w:r>
      <w:r>
        <w:rPr>
          <w:rFonts w:ascii="Times New Roman;Times;serif" w:hAnsi="Times New Roman;Times;serif"/>
          <w:i/>
          <w:sz w:val="18"/>
        </w:rPr>
        <w:t>of target depending on the achievement of pre-established performance goals.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weighted-average grant-date fair value of restricted stock units and/or performance share units granted during the three-months ended June 30, 2023 and 2022 was $59.17 and $43.76 per share, respectively. The weighted-average grant-date fair value of restricted stock units and/or performance share units granted during the six-months ended June 30, 2023 and 2022 was $48.93 and $36.98 per share,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June 30, 2023, 1.9 million of restricted stock units and performance share units are expected to vest over their respective terms.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At June 30, 2023, total unrecognized compensation expense relating to non-vested restricted stock units and performance share units was $47.1 million, which is expected to be recognized over a weighted-average period of 1.7 years.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Other Share-Based Awards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has granted other share-based awards to certain employees that are payable in cash. These awards are classified as liabilities and are valued based on the fair value of the award at the grant date and are remeasured at each reporting date until settlement, with compensation expense being recognized in proportion to the completed requisite service period up until date of settlement. At June 30, 2023, other share-based awards outstanding included grants that vest over three years payable in the first quarters of 2024, 2025 and 2026.</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At June 30, 2023, there was $1.5 million of total unrecognized compensation expense related to nonvested other share-based awards granted to employees under the Company’s stock-based compensation plans. That expense is expected to be recognized over a weighted-average period of 1.7 years.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895" w:name="Tc_WForVeXkK0OaYZUx2ZXEcw_7_2"/>
      <w:bookmarkStart w:id="1896" w:name="Tc_lep9SU0SCkq25WYExwVbUA_7_0"/>
      <w:bookmarkStart w:id="1897" w:name="Tc_EY96EsljnE6VWxldurBF6w_6_0"/>
      <w:bookmarkStart w:id="1898" w:name="Tc_HaWEN0EGbEGW7qipewJLBw_5_0"/>
      <w:bookmarkStart w:id="1899" w:name="Tc_XkrBzFXEqUGtX0zo0IecBg_4_0"/>
      <w:bookmarkStart w:id="1900" w:name="Tc_-Vdtrgq4WUixVXC09S6cUQ_3_2"/>
      <w:bookmarkStart w:id="1901" w:name="Tc_n5kP7ELs1Uu1xn7NbISrDw_3_0"/>
      <w:bookmarkStart w:id="1902" w:name="Tc_YSY0BddqWk-uX_Uc7iyiOA_2_2"/>
      <w:bookmarkStart w:id="1903" w:name="Tc_zyzF7NfQXk6ax3dfVM0JFg_1_2"/>
      <w:bookmarkStart w:id="1904" w:name="Tc_WForVeXkK0OaYZUx2ZXEcw_7_2"/>
      <w:bookmarkStart w:id="1905" w:name="Tc_lep9SU0SCkq25WYExwVbUA_7_0"/>
      <w:bookmarkStart w:id="1906" w:name="Tc_EY96EsljnE6VWxldurBF6w_6_0"/>
      <w:bookmarkStart w:id="1907" w:name="Tc_HaWEN0EGbEGW7qipewJLBw_5_0"/>
      <w:bookmarkStart w:id="1908" w:name="Tc_XkrBzFXEqUGtX0zo0IecBg_4_0"/>
      <w:bookmarkStart w:id="1909" w:name="Tc_-Vdtrgq4WUixVXC09S6cUQ_3_2"/>
      <w:bookmarkStart w:id="1910" w:name="Tc_n5kP7ELs1Uu1xn7NbISrDw_3_0"/>
      <w:bookmarkStart w:id="1911" w:name="Tc_YSY0BddqWk-uX_Uc7iyiOA_2_2"/>
      <w:bookmarkStart w:id="1912" w:name="Tc_zyzF7NfQXk6ax3dfVM0JFg_1_2"/>
      <w:bookmarkEnd w:id="1904"/>
      <w:bookmarkEnd w:id="1905"/>
      <w:bookmarkEnd w:id="1906"/>
      <w:bookmarkEnd w:id="1907"/>
      <w:bookmarkEnd w:id="1908"/>
      <w:bookmarkEnd w:id="1909"/>
      <w:bookmarkEnd w:id="1910"/>
      <w:bookmarkEnd w:id="1911"/>
      <w:bookmarkEnd w:id="1912"/>
    </w:p>
    <w:tbl>
      <w:tblPr>
        <w:tblW w:w="1952" w:type="dxa"/>
        <w:jc w:val="left"/>
        <w:tblInd w:w="0" w:type="dxa"/>
        <w:tblLayout w:type="fixed"/>
        <w:tblCellMar>
          <w:top w:w="0" w:type="dxa"/>
          <w:left w:w="0" w:type="dxa"/>
          <w:bottom w:w="0" w:type="dxa"/>
          <w:right w:w="0" w:type="dxa"/>
        </w:tblCellMar>
      </w:tblPr>
      <w:tblGrid>
        <w:gridCol w:w="376"/>
        <w:gridCol w:w="1576"/>
      </w:tblGrid>
      <w:tr>
        <w:trPr/>
        <w:tc>
          <w:tcPr>
            <w:tcW w:w="37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15.</w:t>
            </w:r>
          </w:p>
        </w:tc>
        <w:tc>
          <w:tcPr>
            <w:tcW w:w="157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INCOME TAXES</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is a roll-forward of the Company’s total gross unrecognized tax benefits, not including interest and penalties, for the six-months ended June 30, 2023:</w:t>
      </w:r>
    </w:p>
    <w:p>
      <w:pPr>
        <w:pStyle w:val="TextBody"/>
        <w:bidi w:val="0"/>
        <w:spacing w:before="0" w:after="0"/>
        <w:ind w:left="0" w:right="0" w:firstLine="720"/>
        <w:jc w:val="both"/>
        <w:rPr/>
      </w:pPr>
      <w:r>
        <w:rPr/>
        <w:t>​</w:t>
      </w:r>
    </w:p>
    <w:tbl>
      <w:tblPr>
        <w:tblW w:w="6568" w:type="dxa"/>
        <w:jc w:val="left"/>
        <w:tblInd w:w="0" w:type="dxa"/>
        <w:tblLayout w:type="fixed"/>
        <w:tblCellMar>
          <w:top w:w="0" w:type="dxa"/>
          <w:left w:w="0" w:type="dxa"/>
          <w:bottom w:w="0" w:type="dxa"/>
          <w:right w:w="0" w:type="dxa"/>
        </w:tblCellMar>
      </w:tblPr>
      <w:tblGrid>
        <w:gridCol w:w="4411"/>
        <w:gridCol w:w="326"/>
        <w:gridCol w:w="435"/>
        <w:gridCol w:w="1396"/>
      </w:tblGrid>
      <w:tr>
        <w:trPr/>
        <w:tc>
          <w:tcPr>
            <w:tcW w:w="4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07010" cy="175260"/>
                      <wp:effectExtent l="0" t="0" r="0" b="0"/>
                      <wp:wrapNone/>
                      <wp:docPr id="350" name="Frame3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76225" cy="175260"/>
                      <wp:effectExtent l="0" t="0" r="0" b="0"/>
                      <wp:wrapNone/>
                      <wp:docPr id="351" name="Frame351"/>
                      <a:graphic xmlns:a="http://schemas.openxmlformats.org/drawingml/2006/main">
                        <a:graphicData uri="http://schemas.microsoft.com/office/word/2010/wordprocessingShape">
                          <wps:wsp>
                            <wps:cNvSpPr txBox="1"/>
                            <wps:spPr>
                              <a:xfrm>
                                <a:off x="0" y="0"/>
                                <a:ext cx="276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886460" cy="175260"/>
                      <wp:effectExtent l="0" t="0" r="0" b="0"/>
                      <wp:wrapNone/>
                      <wp:docPr id="352" name="Frame352"/>
                      <a:graphic xmlns:a="http://schemas.openxmlformats.org/drawingml/2006/main">
                        <a:graphicData uri="http://schemas.microsoft.com/office/word/2010/wordprocessingShape">
                          <wps:wsp>
                            <wps:cNvSpPr txBox="1"/>
                            <wps:spPr>
                              <a:xfrm>
                                <a:off x="0" y="0"/>
                                <a:ext cx="886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83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Gross Unrecognized </w:t>
            </w:r>
          </w:p>
        </w:tc>
      </w:tr>
      <w:tr>
        <w:trPr/>
        <w:tc>
          <w:tcPr>
            <w:tcW w:w="4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8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Tax Benefits</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4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3,020</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for tax positions related to the current year</w:t>
            </w:r>
          </w:p>
        </w:tc>
        <w:tc>
          <w:tcPr>
            <w:tcW w:w="326" w:type="dxa"/>
            <w:tcBorders/>
            <w:vAlign w:val="center"/>
          </w:tcPr>
          <w:p>
            <w:pPr>
              <w:pStyle w:val="TableContents"/>
              <w:bidi w:val="0"/>
              <w:spacing w:before="0" w:after="0"/>
              <w:ind w:left="0" w:right="0" w:hanging="0"/>
              <w:jc w:val="left"/>
              <w:rPr/>
            </w:pPr>
            <w:r>
              <w:rPr/>
              <w:t>​</w:t>
            </w:r>
          </w:p>
        </w:tc>
        <w:tc>
          <w:tcPr>
            <w:tcW w:w="435" w:type="dxa"/>
            <w:tcBorders/>
            <w:vAlign w:val="center"/>
          </w:tcPr>
          <w:p>
            <w:pPr>
              <w:pStyle w:val="TableContents"/>
              <w:bidi w:val="0"/>
              <w:spacing w:before="0" w:after="0"/>
              <w:ind w:left="0" w:right="0" w:hanging="0"/>
              <w:jc w:val="left"/>
              <w:rPr/>
            </w:pPr>
            <w:r>
              <w:rPr/>
              <w:t> </w:t>
            </w:r>
          </w:p>
        </w:tc>
        <w:tc>
          <w:tcPr>
            <w:tcW w:w="1396" w:type="dxa"/>
            <w:tcBorders/>
            <w:vAlign w:val="center"/>
          </w:tcPr>
          <w:p>
            <w:pPr>
              <w:pStyle w:val="TableContents"/>
              <w:bidi w:val="0"/>
              <w:spacing w:before="0" w:after="0"/>
              <w:ind w:left="0" w:right="0" w:hanging="0"/>
              <w:jc w:val="right"/>
              <w:rPr/>
            </w:pPr>
            <w:r>
              <w:rPr/>
              <w:t>—</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for tax positions related to the prior years</w:t>
            </w:r>
          </w:p>
        </w:tc>
        <w:tc>
          <w:tcPr>
            <w:tcW w:w="326" w:type="dxa"/>
            <w:tcBorders/>
            <w:shd w:fill="CCEEFF" w:val="clear"/>
            <w:vAlign w:val="center"/>
          </w:tcPr>
          <w:p>
            <w:pPr>
              <w:pStyle w:val="TableContents"/>
              <w:bidi w:val="0"/>
              <w:spacing w:before="0" w:after="0"/>
              <w:ind w:left="0" w:right="0" w:hanging="0"/>
              <w:jc w:val="left"/>
              <w:rPr/>
            </w:pPr>
            <w:r>
              <w:rPr/>
              <w:t>​</w:t>
            </w:r>
          </w:p>
        </w:tc>
        <w:tc>
          <w:tcPr>
            <w:tcW w:w="435" w:type="dxa"/>
            <w:tcBorders/>
            <w:shd w:fill="CCEEFF" w:val="clear"/>
            <w:vAlign w:val="center"/>
          </w:tcPr>
          <w:p>
            <w:pPr>
              <w:pStyle w:val="TableContents"/>
              <w:bidi w:val="0"/>
              <w:spacing w:before="0" w:after="0"/>
              <w:ind w:left="0" w:right="0" w:hanging="0"/>
              <w:jc w:val="left"/>
              <w:rPr/>
            </w:pPr>
            <w:r>
              <w:rPr/>
              <w:t> </w:t>
            </w:r>
          </w:p>
        </w:tc>
        <w:tc>
          <w:tcPr>
            <w:tcW w:w="13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738</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Decreases for tax positions related to the prior years</w:t>
            </w:r>
          </w:p>
        </w:tc>
        <w:tc>
          <w:tcPr>
            <w:tcW w:w="326" w:type="dxa"/>
            <w:tcBorders/>
            <w:vAlign w:val="center"/>
          </w:tcPr>
          <w:p>
            <w:pPr>
              <w:pStyle w:val="TableContents"/>
              <w:bidi w:val="0"/>
              <w:spacing w:before="0" w:after="0"/>
              <w:ind w:left="0" w:right="0" w:hanging="0"/>
              <w:jc w:val="left"/>
              <w:rPr/>
            </w:pPr>
            <w:r>
              <w:rPr/>
              <w:t>​</w:t>
            </w:r>
          </w:p>
        </w:tc>
        <w:tc>
          <w:tcPr>
            <w:tcW w:w="43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2023</w:t>
            </w:r>
          </w:p>
        </w:tc>
        <w:tc>
          <w:tcPr>
            <w:tcW w:w="326" w:type="dxa"/>
            <w:tcBorders/>
            <w:shd w:fill="CCEEFF" w:val="clear"/>
            <w:vAlign w:val="center"/>
          </w:tcPr>
          <w:p>
            <w:pPr>
              <w:pStyle w:val="TableContents"/>
              <w:bidi w:val="0"/>
              <w:spacing w:before="0" w:after="0"/>
              <w:ind w:left="0" w:right="0" w:hanging="0"/>
              <w:jc w:val="left"/>
              <w:rPr/>
            </w:pPr>
            <w:r>
              <w:rPr/>
              <w:t>​</w:t>
            </w:r>
          </w:p>
        </w:tc>
        <w:tc>
          <w:tcPr>
            <w:tcW w:w="4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3,758</w:t>
            </w:r>
          </w:p>
        </w:tc>
      </w:tr>
    </w:tbl>
    <w:p>
      <w:pPr>
        <w:pStyle w:val="TextBody"/>
        <w:bidi w:val="0"/>
        <w:spacing w:before="0" w:after="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recognizes accrued interest and penalties related to unrecognized tax benefits in the provision for income taxes in the Company’s condensed consolidated financial statements. As of June 30, 2023, the Company had approximately $0.6 million in accrued interest and penalties related to unrecognized tax benefits. If the Company were to prevail on all uncertain tax positions, the resultant impact on the Company’s effective tax rate would not be significant. It is expected that any change in the amount of unrecognized tax benefits within the next 12 months will not be significant.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is subject to U.S. federal income tax as well as to income tax in multiple state and foreign jurisdictions.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is in various stages of examination with certain states and certain foreign jurisdictions. The Company’s 2019 through 2022 U.S. federal income tax returns are subject to examination by the IRS. The Company’s state income tax returns are subject to examination for the 2018 through 2022 tax years.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913" w:name="Tc_KzjxA9DEUEOrkaQ9n4mnSw_7_0"/>
      <w:bookmarkStart w:id="1914" w:name="Tc_kzYnpj_S2EiIJhoG0hYzUA_6_0"/>
      <w:bookmarkStart w:id="1915" w:name="Tc_X0kPhPADN0i6UbF5KQKgoQ_5_0"/>
      <w:bookmarkStart w:id="1916" w:name="Tc_2Ndb9tXv70Wf1Oac6ErsvQ_4_0"/>
      <w:bookmarkStart w:id="1917" w:name="Tc_C2gNRGp_7UuoFeJBNmeccw_3_8"/>
      <w:bookmarkStart w:id="1918" w:name="Tc_nmNw_XzPCkykiotxhauxlQ_3_6"/>
      <w:bookmarkStart w:id="1919" w:name="Tc_vjGAnH1660aC-uObZPwwkQ_3_4"/>
      <w:bookmarkStart w:id="1920" w:name="Tc_bEt0pkJTL0mUf3GnOno7bw_3_2"/>
      <w:bookmarkStart w:id="1921" w:name="Tc_th8ikZX3jUmYzWXet-_V7Q_2_6"/>
      <w:bookmarkStart w:id="1922" w:name="Tc_kwvQ99N5CkmYQ7r4J1XDlA_2_2"/>
      <w:bookmarkStart w:id="1923" w:name="Tc_H4mKHHuPvk-wq-1bP0TKmA_1_6"/>
      <w:bookmarkStart w:id="1924" w:name="Tc_XsdttlInkUa58KY4ME4ucw_1_2"/>
      <w:bookmarkStart w:id="1925" w:name="_eddd514f_331a_4132_8b29_0f5b0858f646"/>
      <w:bookmarkStart w:id="1926" w:name="Tc_KzjxA9DEUEOrkaQ9n4mnSw_7_0"/>
      <w:bookmarkStart w:id="1927" w:name="Tc_kzYnpj_S2EiIJhoG0hYzUA_6_0"/>
      <w:bookmarkStart w:id="1928" w:name="Tc_X0kPhPADN0i6UbF5KQKgoQ_5_0"/>
      <w:bookmarkStart w:id="1929" w:name="Tc_2Ndb9tXv70Wf1Oac6ErsvQ_4_0"/>
      <w:bookmarkStart w:id="1930" w:name="Tc_C2gNRGp_7UuoFeJBNmeccw_3_8"/>
      <w:bookmarkStart w:id="1931" w:name="Tc_nmNw_XzPCkykiotxhauxlQ_3_6"/>
      <w:bookmarkStart w:id="1932" w:name="Tc_vjGAnH1660aC-uObZPwwkQ_3_4"/>
      <w:bookmarkStart w:id="1933" w:name="Tc_bEt0pkJTL0mUf3GnOno7bw_3_2"/>
      <w:bookmarkStart w:id="1934" w:name="Tc_th8ikZX3jUmYzWXet-_V7Q_2_6"/>
      <w:bookmarkStart w:id="1935" w:name="Tc_kwvQ99N5CkmYQ7r4J1XDlA_2_2"/>
      <w:bookmarkStart w:id="1936" w:name="Tc_H4mKHHuPvk-wq-1bP0TKmA_1_6"/>
      <w:bookmarkStart w:id="1937" w:name="Tc_XsdttlInkUa58KY4ME4ucw_1_2"/>
      <w:bookmarkStart w:id="1938" w:name="_eddd514f_331a_4132_8b29_0f5b0858f646"/>
      <w:bookmarkEnd w:id="1926"/>
      <w:bookmarkEnd w:id="1927"/>
      <w:bookmarkEnd w:id="1928"/>
      <w:bookmarkEnd w:id="1929"/>
      <w:bookmarkEnd w:id="1930"/>
      <w:bookmarkEnd w:id="1931"/>
      <w:bookmarkEnd w:id="1932"/>
      <w:bookmarkEnd w:id="1933"/>
      <w:bookmarkEnd w:id="1934"/>
      <w:bookmarkEnd w:id="1935"/>
      <w:bookmarkEnd w:id="1936"/>
      <w:bookmarkEnd w:id="1937"/>
      <w:bookmarkEnd w:id="1938"/>
    </w:p>
    <w:tbl>
      <w:tblPr>
        <w:tblW w:w="2567" w:type="dxa"/>
        <w:jc w:val="left"/>
        <w:tblInd w:w="0" w:type="dxa"/>
        <w:tblLayout w:type="fixed"/>
        <w:tblCellMar>
          <w:top w:w="0" w:type="dxa"/>
          <w:left w:w="0" w:type="dxa"/>
          <w:bottom w:w="0" w:type="dxa"/>
          <w:right w:w="0" w:type="dxa"/>
        </w:tblCellMar>
      </w:tblPr>
      <w:tblGrid>
        <w:gridCol w:w="376"/>
        <w:gridCol w:w="2191"/>
      </w:tblGrid>
      <w:tr>
        <w:trPr/>
        <w:tc>
          <w:tcPr>
            <w:tcW w:w="37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16.</w:t>
            </w:r>
          </w:p>
        </w:tc>
        <w:tc>
          <w:tcPr>
            <w:tcW w:w="219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EARNINGS PER SHARE</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 reconciliation of the weighted-average shares used in the basic and diluted earnings per common share computations is presented below (in thousands):</w:t>
      </w:r>
    </w:p>
    <w:p>
      <w:pPr>
        <w:pStyle w:val="TextBody"/>
        <w:bidi w:val="0"/>
        <w:spacing w:before="0" w:after="0"/>
        <w:ind w:left="0" w:right="0" w:firstLine="720"/>
        <w:jc w:val="both"/>
        <w:rPr/>
      </w:pPr>
      <w:r>
        <w:rPr/>
        <w:t>​</w:t>
      </w:r>
    </w:p>
    <w:tbl>
      <w:tblPr>
        <w:tblW w:w="8359" w:type="dxa"/>
        <w:jc w:val="left"/>
        <w:tblInd w:w="0" w:type="dxa"/>
        <w:tblLayout w:type="fixed"/>
        <w:tblCellMar>
          <w:top w:w="0" w:type="dxa"/>
          <w:left w:w="0" w:type="dxa"/>
          <w:bottom w:w="0" w:type="dxa"/>
          <w:right w:w="0" w:type="dxa"/>
        </w:tblCellMar>
      </w:tblPr>
      <w:tblGrid>
        <w:gridCol w:w="3226"/>
        <w:gridCol w:w="326"/>
        <w:gridCol w:w="931"/>
        <w:gridCol w:w="326"/>
        <w:gridCol w:w="931"/>
        <w:gridCol w:w="326"/>
        <w:gridCol w:w="931"/>
        <w:gridCol w:w="326"/>
        <w:gridCol w:w="1036"/>
      </w:tblGrid>
      <w:tr>
        <w:trPr/>
        <w:tc>
          <w:tcPr>
            <w:tcW w:w="3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048510" cy="175260"/>
                      <wp:effectExtent l="0" t="0" r="0" b="0"/>
                      <wp:wrapNone/>
                      <wp:docPr id="353" name="Frame353"/>
                      <a:graphic xmlns:a="http://schemas.openxmlformats.org/drawingml/2006/main">
                        <a:graphicData uri="http://schemas.microsoft.com/office/word/2010/wordprocessingShape">
                          <wps:wsp>
                            <wps:cNvSpPr txBox="1"/>
                            <wps:spPr>
                              <a:xfrm>
                                <a:off x="0" y="0"/>
                                <a:ext cx="2048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07010" cy="175260"/>
                      <wp:effectExtent l="0" t="0" r="0" b="0"/>
                      <wp:wrapNone/>
                      <wp:docPr id="354" name="Frame3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591185" cy="175260"/>
                      <wp:effectExtent l="0" t="0" r="0" b="0"/>
                      <wp:wrapNone/>
                      <wp:docPr id="355" name="Frame35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07010" cy="175260"/>
                      <wp:effectExtent l="0" t="0" r="0" b="0"/>
                      <wp:wrapNone/>
                      <wp:docPr id="356" name="Frame3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591185" cy="175260"/>
                      <wp:effectExtent l="0" t="0" r="0" b="0"/>
                      <wp:wrapNone/>
                      <wp:docPr id="357" name="Frame35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07010" cy="175260"/>
                      <wp:effectExtent l="0" t="0" r="0" b="0"/>
                      <wp:wrapNone/>
                      <wp:docPr id="358" name="Frame3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591185" cy="175260"/>
                      <wp:effectExtent l="0" t="0" r="0" b="0"/>
                      <wp:wrapNone/>
                      <wp:docPr id="359" name="Frame35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07010" cy="175260"/>
                      <wp:effectExtent l="0" t="0" r="0" b="0"/>
                      <wp:wrapNone/>
                      <wp:docPr id="360" name="Frame3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57860" cy="175260"/>
                      <wp:effectExtent l="0" t="0" r="0" b="0"/>
                      <wp:wrapNone/>
                      <wp:docPr id="361" name="Frame36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88"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w:t>
            </w:r>
          </w:p>
        </w:tc>
        <w:tc>
          <w:tcPr>
            <w:tcW w:w="326" w:type="dxa"/>
            <w:tcBorders/>
            <w:vAlign w:val="center"/>
          </w:tcPr>
          <w:p>
            <w:pPr>
              <w:pStyle w:val="TableContents"/>
              <w:bidi w:val="0"/>
              <w:spacing w:before="0" w:after="0"/>
              <w:ind w:left="0" w:right="0" w:hanging="0"/>
              <w:jc w:val="center"/>
              <w:rPr/>
            </w:pPr>
            <w:r>
              <w:rPr/>
              <w:t>​</w:t>
            </w:r>
          </w:p>
        </w:tc>
        <w:tc>
          <w:tcPr>
            <w:tcW w:w="2293"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Six-Months Ended</w:t>
            </w:r>
          </w:p>
        </w:tc>
      </w:tr>
      <w:tr>
        <w:trPr/>
        <w:tc>
          <w:tcPr>
            <w:tcW w:w="3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8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c>
          <w:tcPr>
            <w:tcW w:w="326" w:type="dxa"/>
            <w:tcBorders/>
            <w:vAlign w:val="center"/>
          </w:tcPr>
          <w:p>
            <w:pPr>
              <w:pStyle w:val="TableContents"/>
              <w:bidi w:val="0"/>
              <w:spacing w:before="0" w:after="0"/>
              <w:ind w:left="0" w:right="0" w:hanging="0"/>
              <w:jc w:val="center"/>
              <w:rPr/>
            </w:pPr>
            <w:r>
              <w:rPr/>
              <w:t>​</w:t>
            </w:r>
          </w:p>
        </w:tc>
        <w:tc>
          <w:tcPr>
            <w:tcW w:w="229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r>
      <w:tr>
        <w:trPr/>
        <w:tc>
          <w:tcPr>
            <w:tcW w:w="3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c>
          <w:tcPr>
            <w:tcW w:w="326" w:type="dxa"/>
            <w:tcBorders/>
            <w:vAlign w:val="center"/>
          </w:tcPr>
          <w:p>
            <w:pPr>
              <w:pStyle w:val="TableContents"/>
              <w:bidi w:val="0"/>
              <w:spacing w:before="0" w:after="0"/>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1,047,065</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1,057,233</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1,045,993</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1,058,017</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Dilutive</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13,028</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12,389</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13,674</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12,401</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1,060,093</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1,069,622</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1,059,667</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1,070,418</w:t>
            </w:r>
          </w:p>
        </w:tc>
      </w:tr>
    </w:tbl>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For the three-months ended June 30, 2023 and 2022, options and awards outstanding totaling 4.1 million shares and 3.5 million shares, respectively, were excluded from the calculations as their effect would have been antidilutive. For the six-months ended June 30, 2023 and 2022, options and awards outstanding totaling 2.6 million shares and 2.5 million shares, respectively, were excluded from the calculations as their effect would have been antidilutive. </w:t>
      </w:r>
    </w:p>
    <w:p>
      <w:pPr>
        <w:pStyle w:val="TextBody"/>
        <w:bidi w:val="0"/>
        <w:spacing w:before="0" w:after="0"/>
        <w:ind w:left="0" w:right="0" w:firstLine="720"/>
        <w:jc w:val="both"/>
        <w:rPr/>
      </w:pPr>
      <w:r>
        <w:rPr/>
        <w:t>​</w:t>
      </w:r>
    </w:p>
    <w:tbl>
      <w:tblPr>
        <w:tblW w:w="2822" w:type="dxa"/>
        <w:jc w:val="left"/>
        <w:tblInd w:w="0" w:type="dxa"/>
        <w:tblLayout w:type="fixed"/>
        <w:tblCellMar>
          <w:top w:w="0" w:type="dxa"/>
          <w:left w:w="0" w:type="dxa"/>
          <w:bottom w:w="0" w:type="dxa"/>
          <w:right w:w="0" w:type="dxa"/>
        </w:tblCellMar>
      </w:tblPr>
      <w:tblGrid>
        <w:gridCol w:w="376"/>
        <w:gridCol w:w="2446"/>
      </w:tblGrid>
      <w:tr>
        <w:trPr/>
        <w:tc>
          <w:tcPr>
            <w:tcW w:w="37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17.</w:t>
            </w:r>
          </w:p>
        </w:tc>
        <w:tc>
          <w:tcPr>
            <w:tcW w:w="244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SEGMENT INFORMATION</w:t>
            </w:r>
          </w:p>
        </w:tc>
      </w:tr>
    </w:tbl>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 has four operating and </w:t>
      </w:r>
      <w:r>
        <w:rPr>
          <w:rFonts w:ascii="Times New Roman;Times;serif" w:hAnsi="Times New Roman;Times;serif"/>
          <w:b w:val="false"/>
          <w:i w:val="false"/>
          <w:caps w:val="false"/>
          <w:smallCaps w:val="false"/>
          <w:sz w:val="20"/>
        </w:rPr>
        <w:t>reportable</w:t>
      </w:r>
      <w:r>
        <w:rPr>
          <w:rFonts w:ascii="Times New Roman;Times;serif" w:hAnsi="Times New Roman;Times;serif"/>
          <w:sz w:val="20"/>
        </w:rPr>
        <w:t xml:space="preserve"> segments: (i) Monster Energy® Drinks segment, which is primarily comprised of the Company’s Monster Energy® drinks, Reign Total Body Fuel® high performance energy drinks, Monster Tour Water® and Reign Storm® total wellness energy drinks, (ii) Strategic Brands segment, which is primarily comprised of the various energy drink brands acquired from TCCC in 2015 as well as the Company’s affordable energy brands, (iii) Alcohol Brands segment, which is primarily comprised of the various craft beers and hard seltzers purchased as part of the CANarchy Transaction on February 17, 2022 as well as The Beast Unleashed</w:t>
      </w:r>
      <w:r>
        <w:rPr>
          <w:rFonts w:ascii="Times New Roman;Times;serif" w:hAnsi="Times New Roman;Times;serif"/>
          <w:sz w:val="15"/>
        </w:rPr>
        <w:t>TM</w:t>
      </w:r>
      <w:r>
        <w:rPr>
          <w:rFonts w:ascii="Times New Roman;Times;serif" w:hAnsi="Times New Roman;Times;serif"/>
          <w:sz w:val="20"/>
        </w:rPr>
        <w:t xml:space="preserve"> FMBs and (iv) Other segment, which is primarily comprised of the AFF Third-Party Products.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Monster Energy® Drinks segment primarily generates net operating revenues by selling ready-to-drink packaged drinks primarily to bottlers/distributors. In some cases, the Company sells ready-to-drink packaged drinks directly to retail grocery and specialty chains, wholesalers, club stores, mass merchandisers, convenience and gas chains, drug stores, foodservice customers, value stores, e-commerce retailers and the military.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by such bottlers to other bottlers/distributors and to retail grocery and specialty chains, wholesalers, club stores, mass merchandisers, convenience and gas chains, foodservice customers, drug stores, value stores, e-commerce retailers and the military. To a lesser extent, the Strategic Brands segment generates net operating revenues by selling certain ready-to-drink packaged energy drinks to bottlers/distributors.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Generally, the Monster Energy® Drinks segment generates higher per case net operating revenues, but lower per case gross profit margin percentages than the Strategic Brands segment.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Alcohol Brands segment primarily generates operating revenues by selling kegged and ready-to-drink canned beers, hard seltzers and FMBs primarily to beer distributors in the United States.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Generally, the Alcohol Brands segment has lower gross profit margin percentages than the Monster Energy® Drinks segment.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Corporate and unallocated amounts that do not relate to a reportable segment have been allocated to “Corporate &amp; Unallocated.” No asset information, other than goodwill and other intangible assets, has been provided in the Company’s reportable segments, as management does not measure or allocate such assets on a segment basis.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bookmarkStart w:id="1939" w:name="Tc_TIdcS0ISM0y4sC4WB0UL7w_10_11"/>
      <w:bookmarkStart w:id="1940" w:name="Tc_QwaPlp_J_k-2uWKs59UJRA_10_8"/>
      <w:bookmarkStart w:id="1941" w:name="Tc_kyVsD3whwEWU18kBL-HUJQ_10_5"/>
      <w:bookmarkStart w:id="1942" w:name="Tc_f3PGQyekQ0-79E3Sz_Phqg_10_2"/>
      <w:bookmarkStart w:id="1943" w:name="Tc_k1CUt1pq70GyMXIZP7_QNQ_9_0"/>
      <w:bookmarkStart w:id="1944" w:name="Tc_0ObVr06yHEO4sThn3wCjUA_8_0"/>
      <w:bookmarkStart w:id="1945" w:name="Tc_ByXJ2soH50e2kj8sknVC0Q_7_0"/>
      <w:bookmarkStart w:id="1946" w:name="Tc_OLoHjNppEUe1ccakhcEJFA_6_0"/>
      <w:bookmarkStart w:id="1947" w:name="Tc_xXcfAMFiPUy_htuC59zD3w_5_11"/>
      <w:bookmarkStart w:id="1948" w:name="Tc_tFVSKKejnE621POkmVHULw_5_8"/>
      <w:bookmarkStart w:id="1949" w:name="Tc_kZjnU0cAa0ui6qSrKVr72w_5_5"/>
      <w:bookmarkStart w:id="1950" w:name="Tc_wL0sjnG6wkyPuXVzNyGGtg_5_2"/>
      <w:bookmarkStart w:id="1951" w:name="Tc_Qo0ZEM3i-k-a5VC8TZZx4g_5_0"/>
      <w:bookmarkStart w:id="1952" w:name="Tc_iQRwFuxbCUCXyVfJR0d8uQ_4_0"/>
      <w:bookmarkStart w:id="1953" w:name="Tc_4rtn5tApL0aGt3zpY-CFtA_3_11"/>
      <w:bookmarkStart w:id="1954" w:name="Tc_VgnesfRUVkC7PkvZMt6QTw_3_8"/>
      <w:bookmarkStart w:id="1955" w:name="Tc_3xRJKGHNgESatk9bCfsE0A_3_5"/>
      <w:bookmarkStart w:id="1956" w:name="Tc_0Txastep5ECD6iSBypP2mQ_3_2"/>
      <w:bookmarkStart w:id="1957" w:name="Tc_mhYMI2amrUSuUCGXM3xeyg_2_8"/>
      <w:bookmarkStart w:id="1958" w:name="Tc_uKjfvIiP80GFwPkjBAQauw_2_2"/>
      <w:bookmarkStart w:id="1959" w:name="Tc_0Jo4fYZoV0magPd4GbcElw_1_8"/>
      <w:bookmarkStart w:id="1960" w:name="Tc_mpsyHLwEkUCcm2vPZ0HYWQ_1_2"/>
      <w:bookmarkStart w:id="1961" w:name="_2326e99b_b6a2_411b_965f_5a2b99a53c97"/>
      <w:bookmarkStart w:id="1962" w:name="Tc_BmdLm_TX7E-q6cTNlTIEtQ_10_11"/>
      <w:bookmarkStart w:id="1963" w:name="Tc_W4rSEAdgPECvukCRCJHLcA_10_8"/>
      <w:bookmarkStart w:id="1964" w:name="Tc_HbUD_xrlOU6lLIf7H70bXw_10_5"/>
      <w:bookmarkStart w:id="1965" w:name="Tc_5HPXU0nWSk28K2qB4zkx1A_10_2"/>
      <w:bookmarkStart w:id="1966" w:name="Tc_r-WQ0pSS70Su1I9KfUOn5g_9_0"/>
      <w:bookmarkStart w:id="1967" w:name="Tc_iEzlaMEdokS1-zChkjRVOQ_8_0"/>
      <w:bookmarkStart w:id="1968" w:name="Tc_WvwShpgKukW85ia9lDSD8A_7_0"/>
      <w:bookmarkStart w:id="1969" w:name="Tc_LDtRRYCJJkyEGr7sFeW2xQ_6_0"/>
      <w:bookmarkStart w:id="1970" w:name="Tc_C3b0bSvjPkezTiU7clwJDQ_5_11"/>
      <w:bookmarkStart w:id="1971" w:name="Tc_KaxapSIqCE2aJ0i6M1Co-A_5_8"/>
      <w:bookmarkStart w:id="1972" w:name="Tc_j4pczMoP2Eu-F4GW3yGDmw_5_5"/>
      <w:bookmarkStart w:id="1973" w:name="Tc_l0upoVe_tke903rL-2smyQ_5_2"/>
      <w:bookmarkStart w:id="1974" w:name="Tc_FYinWlejlUWEd3sYZxOb9Q_5_0"/>
      <w:bookmarkStart w:id="1975" w:name="Tc_Kop_bvmaYUGSdR1-Y4V6fA_4_0"/>
      <w:bookmarkStart w:id="1976" w:name="Tc_A2FZn7_Q6Eqd-2UxrY5YEg_3_11"/>
      <w:bookmarkStart w:id="1977" w:name="Tc_IlSo4C5uzkSj3vuOArs0pg_3_8"/>
      <w:bookmarkStart w:id="1978" w:name="Tc_iqDHXfh7kEKwYT-R-1vvdg_3_5"/>
      <w:bookmarkStart w:id="1979" w:name="Tc_aZzKOehuPk2VLEd-OTaXmw_3_2"/>
      <w:bookmarkStart w:id="1980" w:name="Tc_FkbfijfLjUmhPEObr-Is_A_2_8"/>
      <w:bookmarkStart w:id="1981" w:name="Tc_9cLdv397z0K8oNk08RotIw_2_2"/>
      <w:bookmarkStart w:id="1982" w:name="Tc_pa-G0XALaUqIJbAovDpIzA_1_8"/>
      <w:bookmarkStart w:id="1983" w:name="Tc_LIff7__fpUuaQU0Q5bR1OQ_1_2"/>
      <w:bookmarkStart w:id="1984" w:name="_b4c9d00b_8e0a_44f3_95ce_2c2339aeca40"/>
      <w:bookmarkStart w:id="1985" w:name="Tc_uNhWeBTF_0OmgsB0ak78YQ_10_11"/>
      <w:bookmarkStart w:id="1986" w:name="Tc_DXWPxvh8lEO1meompxB3KQ_10_8"/>
      <w:bookmarkStart w:id="1987" w:name="Tc_Ga-AGvIbY06czhDWEwcy-A_10_5"/>
      <w:bookmarkStart w:id="1988" w:name="Tc_Sz9rgR-k5Ei4yIgpdoXWWw_10_2"/>
      <w:bookmarkStart w:id="1989" w:name="Tc_EL7z2ueVh0ilBDT7rEhn9Q_9_0"/>
      <w:bookmarkStart w:id="1990" w:name="Tc_IkokrW5utky8o0fPFde9UA_8_0"/>
      <w:bookmarkStart w:id="1991" w:name="Tc_aqHopoRKW0GWUhCFLnZOnQ_7_0"/>
      <w:bookmarkStart w:id="1992" w:name="Tc_ZotncLdzpkC6_o9Ujkap5w_6_0"/>
      <w:bookmarkStart w:id="1993" w:name="Tc_FvuDaXkjb0S1y4XHsAv33Q_5_11"/>
      <w:bookmarkStart w:id="1994" w:name="Tc_1Iu61pZTy0SW8Km2LqQqrg_5_8"/>
      <w:bookmarkStart w:id="1995" w:name="Tc_9UAzEK70_kG8bYstDjqEnw_5_5"/>
      <w:bookmarkStart w:id="1996" w:name="Tc_CyRqHE8zokeXexStZIYq-g_5_2"/>
      <w:bookmarkStart w:id="1997" w:name="Tc_GCPG06JowEisBNjXLroQ0A_5_0"/>
      <w:bookmarkStart w:id="1998" w:name="Tc_eezF-cvNiUOLQ-rO2esHqA_4_0"/>
      <w:bookmarkStart w:id="1999" w:name="Tc_2JLks2C9WEeyyq5duzs5zg_3_11"/>
      <w:bookmarkStart w:id="2000" w:name="Tc_0TArAFLk9kuzNPkqagt9gg_3_8"/>
      <w:bookmarkStart w:id="2001" w:name="Tc_5Nrhkk71-ESSLGHo8XKFrg_3_5"/>
      <w:bookmarkStart w:id="2002" w:name="Tc_jHnM7bjckkOBaERPf13nvg_3_2"/>
      <w:bookmarkStart w:id="2003" w:name="Tc_uI-NobV2g0qK11Bnp3eyhQ_2_8"/>
      <w:bookmarkStart w:id="2004" w:name="Tc_k_qS4Plik0-poOEcf1LiTQ_2_2"/>
      <w:bookmarkStart w:id="2005" w:name="Tc_nRjQrdO_ikaOUIVk4E3ZZg_1_8"/>
      <w:bookmarkStart w:id="2006" w:name="Tc_2BxPbAtmI02CsvbbTmjHUw_1_2"/>
      <w:bookmarkStart w:id="2007" w:name="_f220666d_4b43_4a60_bacb_57793d45d121"/>
      <w:bookmarkStart w:id="2008" w:name="Tc_QFXbLN4rs0WCbZ2scf4vtQ_10_11"/>
      <w:bookmarkStart w:id="2009" w:name="Tc_u46vuMH4ME6jU1tJMXlnOg_10_8"/>
      <w:bookmarkStart w:id="2010" w:name="Tc_wJdHb4NrlkmEIs6c_4PzGw_10_5"/>
      <w:bookmarkStart w:id="2011" w:name="Tc_8ICChqj_UEykWR58xX9Dqg_10_2"/>
      <w:bookmarkStart w:id="2012" w:name="Tc_NYpHcDLIZUy-M1Gb-62GIA_9_0"/>
      <w:bookmarkStart w:id="2013" w:name="Tc_adAWEHFpOk2KDnNo3H5kjA_8_0"/>
      <w:bookmarkStart w:id="2014" w:name="Tc_11XDhwOtsUe3eWRP9LBVxQ_7_0"/>
      <w:bookmarkStart w:id="2015" w:name="Tc_TUIY6CoJ8k-ZJL1J6Ne5Kw_6_0"/>
      <w:bookmarkStart w:id="2016" w:name="Tc_RkjWAW-nt02PkPx77uLSvQ_5_11"/>
      <w:bookmarkStart w:id="2017" w:name="Tc_rIKIBjM_YkGLBJvCMfwuGQ_5_8"/>
      <w:bookmarkStart w:id="2018" w:name="Tc_3PRSV2Zz_0CXYqtX6HGMKg_5_5"/>
      <w:bookmarkStart w:id="2019" w:name="Tc_ZYAF3FvNaUm_-hHe5Rl_yw_5_2"/>
      <w:bookmarkStart w:id="2020" w:name="Tc_WAlYDKdi10KAlWgPZnNgcw_5_0"/>
      <w:bookmarkStart w:id="2021" w:name="Tc_ea6HmskxdE-nQdFfgTEw1Q_4_0"/>
      <w:bookmarkStart w:id="2022" w:name="Tc_BZqmH6Kxd0qzF_Ur9UHimA_3_11"/>
      <w:bookmarkStart w:id="2023" w:name="Tc_ekOrSWfpiU6eZpz3BjSRqg_3_8"/>
      <w:bookmarkStart w:id="2024" w:name="Tc_NTyJZirQykqSFIbLPR1oxA_3_5"/>
      <w:bookmarkStart w:id="2025" w:name="Tc_6JwTcxXG3k29iwxsIMzRSQ_3_2"/>
      <w:bookmarkStart w:id="2026" w:name="Tc_ySVHeXl3z06SkTnmLyrhAw_2_8"/>
      <w:bookmarkStart w:id="2027" w:name="Tc_DMDOoRqpSk2ekSAW7EdkAQ_2_2"/>
      <w:bookmarkStart w:id="2028" w:name="Tc_DdzNM0ywB0OJa7oN6VN1Lw_1_8"/>
      <w:bookmarkStart w:id="2029" w:name="Tc_Le4w8n0S7UqYFID_nUAfrw_1_2"/>
      <w:bookmarkStart w:id="2030" w:name="_cc5717f4_0c2b_4f2e_ac51_39258d0b10db"/>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r>
        <w:rPr>
          <w:rFonts w:ascii="Times New Roman;Times;serif" w:hAnsi="Times New Roman;Times;serif"/>
          <w:sz w:val="20"/>
        </w:rPr>
        <w:t>The net revenues derived from the Company’s reportable segments and other financial information related thereto for the three- and six-months ended June 30, 2023 and 2022 were as follows:</w:t>
      </w:r>
    </w:p>
    <w:p>
      <w:pPr>
        <w:pStyle w:val="TextBody"/>
        <w:bidi w:val="0"/>
        <w:spacing w:before="0" w:after="0"/>
        <w:ind w:left="0" w:right="0" w:firstLine="720"/>
        <w:jc w:val="both"/>
        <w:rPr/>
      </w:pPr>
      <w:r>
        <w:rPr/>
        <w:t>​</w:t>
      </w:r>
    </w:p>
    <w:tbl>
      <w:tblPr>
        <w:tblW w:w="8258" w:type="dxa"/>
        <w:jc w:val="left"/>
        <w:tblInd w:w="0" w:type="dxa"/>
        <w:tblLayout w:type="fixed"/>
        <w:tblCellMar>
          <w:top w:w="0" w:type="dxa"/>
          <w:left w:w="0" w:type="dxa"/>
          <w:bottom w:w="0" w:type="dxa"/>
          <w:right w:w="0" w:type="dxa"/>
        </w:tblCellMar>
      </w:tblPr>
      <w:tblGrid>
        <w:gridCol w:w="2281"/>
        <w:gridCol w:w="326"/>
        <w:gridCol w:w="211"/>
        <w:gridCol w:w="931"/>
        <w:gridCol w:w="326"/>
        <w:gridCol w:w="211"/>
        <w:gridCol w:w="931"/>
        <w:gridCol w:w="326"/>
        <w:gridCol w:w="211"/>
        <w:gridCol w:w="931"/>
        <w:gridCol w:w="326"/>
        <w:gridCol w:w="211"/>
        <w:gridCol w:w="1036"/>
      </w:tblGrid>
      <w:tr>
        <w:trPr/>
        <w:tc>
          <w:tcPr>
            <w:tcW w:w="2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33985" cy="175260"/>
                      <wp:effectExtent l="0" t="0" r="0" b="0"/>
                      <wp:wrapNone/>
                      <wp:docPr id="362" name="Frame3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591185" cy="175260"/>
                      <wp:effectExtent l="0" t="0" r="0" b="0"/>
                      <wp:wrapNone/>
                      <wp:docPr id="363" name="Frame36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07010" cy="175260"/>
                      <wp:effectExtent l="0" t="0" r="0" b="0"/>
                      <wp:wrapNone/>
                      <wp:docPr id="364" name="Frame3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33985" cy="175260"/>
                      <wp:effectExtent l="0" t="0" r="0" b="0"/>
                      <wp:wrapNone/>
                      <wp:docPr id="365" name="Frame3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591185" cy="175260"/>
                      <wp:effectExtent l="0" t="0" r="0" b="0"/>
                      <wp:wrapNone/>
                      <wp:docPr id="366" name="Frame36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07010" cy="175260"/>
                      <wp:effectExtent l="0" t="0" r="0" b="0"/>
                      <wp:wrapNone/>
                      <wp:docPr id="367" name="Frame3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133985" cy="175260"/>
                      <wp:effectExtent l="0" t="0" r="0" b="0"/>
                      <wp:wrapNone/>
                      <wp:docPr id="368" name="Frame3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591185" cy="175260"/>
                      <wp:effectExtent l="0" t="0" r="0" b="0"/>
                      <wp:wrapNone/>
                      <wp:docPr id="369" name="Frame36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07010" cy="175260"/>
                      <wp:effectExtent l="0" t="0" r="0" b="0"/>
                      <wp:wrapNone/>
                      <wp:docPr id="370" name="Frame3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33985" cy="175260"/>
                      <wp:effectExtent l="0" t="0" r="0" b="0"/>
                      <wp:wrapNone/>
                      <wp:docPr id="371" name="Frame3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657860" cy="175260"/>
                      <wp:effectExtent l="0" t="0" r="0" b="0"/>
                      <wp:wrapNone/>
                      <wp:docPr id="372" name="Frame37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10"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w:t>
            </w:r>
          </w:p>
        </w:tc>
        <w:tc>
          <w:tcPr>
            <w:tcW w:w="326" w:type="dxa"/>
            <w:tcBorders/>
            <w:vAlign w:val="center"/>
          </w:tcPr>
          <w:p>
            <w:pPr>
              <w:pStyle w:val="TableContents"/>
              <w:bidi w:val="0"/>
              <w:spacing w:before="0" w:after="0"/>
              <w:ind w:left="0" w:right="0" w:hanging="0"/>
              <w:jc w:val="left"/>
              <w:rPr/>
            </w:pPr>
            <w:r>
              <w:rPr/>
              <w:t>​</w:t>
            </w:r>
          </w:p>
        </w:tc>
        <w:tc>
          <w:tcPr>
            <w:tcW w:w="2715"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Six-Months Ended</w:t>
            </w:r>
          </w:p>
        </w:tc>
      </w:tr>
      <w:tr>
        <w:trPr/>
        <w:tc>
          <w:tcPr>
            <w:tcW w:w="2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c>
          <w:tcPr>
            <w:tcW w:w="326" w:type="dxa"/>
            <w:tcBorders/>
            <w:vAlign w:val="center"/>
          </w:tcPr>
          <w:p>
            <w:pPr>
              <w:pStyle w:val="TableContents"/>
              <w:bidi w:val="0"/>
              <w:spacing w:before="0" w:after="0"/>
              <w:ind w:left="0" w:right="0" w:hanging="0"/>
              <w:jc w:val="left"/>
              <w:rPr/>
            </w:pPr>
            <w:r>
              <w:rPr/>
              <w:t>​</w:t>
            </w:r>
          </w:p>
        </w:tc>
        <w:tc>
          <w:tcPr>
            <w:tcW w:w="27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r>
      <w:tr>
        <w:trPr/>
        <w:tc>
          <w:tcPr>
            <w:tcW w:w="2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22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2281"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Monster Energy® Drinks</w:t>
            </w:r>
            <w:r>
              <w:rPr>
                <w:rFonts w:ascii="Times New Roman;Times;serif" w:hAnsi="Times New Roman;Times;serif"/>
                <w:sz w:val="15"/>
              </w:rPr>
              <w:t>1</w:t>
            </w:r>
            <w:r>
              <w:rPr>
                <w:rFonts w:ascii="Times New Roman;Times;serif" w:hAnsi="Times New Roman;Times;serif"/>
                <w:sz w:val="20"/>
              </w:rPr>
              <w:t xml:space="preserve">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1,686,887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1,537,690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3,248,555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2,942,536</w:t>
            </w:r>
          </w:p>
        </w:tc>
      </w:tr>
      <w:tr>
        <w:trPr/>
        <w:tc>
          <w:tcPr>
            <w:tcW w:w="22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Brands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99,690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186,048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171,735</w:t>
            </w:r>
          </w:p>
        </w:tc>
      </w:tr>
      <w:tr>
        <w:trPr/>
        <w:tc>
          <w:tcPr>
            <w:tcW w:w="2281"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Alcohol Brands</w:t>
            </w:r>
            <w:r>
              <w:rPr>
                <w:rFonts w:ascii="Times New Roman;Times;serif" w:hAnsi="Times New Roman;Times;serif"/>
                <w:sz w:val="15"/>
              </w:rPr>
              <w:t>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61,076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32,447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107,366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47,654</w:t>
            </w:r>
          </w:p>
        </w:tc>
      </w:tr>
      <w:tr>
        <w:trPr/>
        <w:tc>
          <w:tcPr>
            <w:tcW w:w="22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11,908</w:t>
            </w:r>
          </w:p>
        </w:tc>
      </w:tr>
      <w:tr>
        <w:trPr/>
        <w:tc>
          <w:tcPr>
            <w:tcW w:w="22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and unallocated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2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1,854,961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1,655,260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3,553,891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3,173,833</w:t>
            </w:r>
          </w:p>
        </w:tc>
      </w:tr>
    </w:tbl>
    <w:p>
      <w:pPr>
        <w:pStyle w:val="TextBody"/>
        <w:bidi w:val="0"/>
        <w:spacing w:before="0" w:after="0"/>
        <w:ind w:left="0" w:right="0" w:firstLine="720"/>
        <w:jc w:val="both"/>
        <w:rPr/>
      </w:pPr>
      <w:r>
        <w:rPr/>
        <w:t>​</w:t>
      </w:r>
    </w:p>
    <w:tbl>
      <w:tblPr>
        <w:tblW w:w="8108" w:type="dxa"/>
        <w:jc w:val="left"/>
        <w:tblInd w:w="0" w:type="dxa"/>
        <w:tblLayout w:type="fixed"/>
        <w:tblCellMar>
          <w:top w:w="0" w:type="dxa"/>
          <w:left w:w="0" w:type="dxa"/>
          <w:bottom w:w="0" w:type="dxa"/>
          <w:right w:w="0" w:type="dxa"/>
        </w:tblCellMar>
      </w:tblPr>
      <w:tblGrid>
        <w:gridCol w:w="2281"/>
        <w:gridCol w:w="326"/>
        <w:gridCol w:w="211"/>
        <w:gridCol w:w="901"/>
        <w:gridCol w:w="326"/>
        <w:gridCol w:w="211"/>
        <w:gridCol w:w="901"/>
        <w:gridCol w:w="326"/>
        <w:gridCol w:w="211"/>
        <w:gridCol w:w="931"/>
        <w:gridCol w:w="326"/>
        <w:gridCol w:w="211"/>
        <w:gridCol w:w="946"/>
      </w:tblGrid>
      <w:tr>
        <w:trPr/>
        <w:tc>
          <w:tcPr>
            <w:tcW w:w="2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133985" cy="175260"/>
                      <wp:effectExtent l="0" t="0" r="0" b="0"/>
                      <wp:wrapNone/>
                      <wp:docPr id="373" name="Frame3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572135" cy="175260"/>
                      <wp:effectExtent l="0" t="0" r="0" b="0"/>
                      <wp:wrapNone/>
                      <wp:docPr id="374" name="Frame374"/>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07010" cy="175260"/>
                      <wp:effectExtent l="0" t="0" r="0" b="0"/>
                      <wp:wrapNone/>
                      <wp:docPr id="375" name="Frame3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133985" cy="175260"/>
                      <wp:effectExtent l="0" t="0" r="0" b="0"/>
                      <wp:wrapNone/>
                      <wp:docPr id="376" name="Frame3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572135" cy="175260"/>
                      <wp:effectExtent l="0" t="0" r="0" b="0"/>
                      <wp:wrapNone/>
                      <wp:docPr id="377" name="Frame377"/>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07010" cy="175260"/>
                      <wp:effectExtent l="0" t="0" r="0" b="0"/>
                      <wp:wrapNone/>
                      <wp:docPr id="378" name="Frame3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133985" cy="175260"/>
                      <wp:effectExtent l="0" t="0" r="0" b="0"/>
                      <wp:wrapNone/>
                      <wp:docPr id="379" name="Frame3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591185" cy="175260"/>
                      <wp:effectExtent l="0" t="0" r="0" b="0"/>
                      <wp:wrapNone/>
                      <wp:docPr id="380" name="Frame38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07010" cy="175260"/>
                      <wp:effectExtent l="0" t="0" r="0" b="0"/>
                      <wp:wrapNone/>
                      <wp:docPr id="381" name="Frame3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133985" cy="175260"/>
                      <wp:effectExtent l="0" t="0" r="0" b="0"/>
                      <wp:wrapNone/>
                      <wp:docPr id="382" name="Frame3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600710" cy="175260"/>
                      <wp:effectExtent l="0" t="0" r="0" b="0"/>
                      <wp:wrapNone/>
                      <wp:docPr id="383" name="Frame383"/>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50"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w:t>
            </w:r>
          </w:p>
        </w:tc>
        <w:tc>
          <w:tcPr>
            <w:tcW w:w="326" w:type="dxa"/>
            <w:tcBorders/>
            <w:vAlign w:val="center"/>
          </w:tcPr>
          <w:p>
            <w:pPr>
              <w:pStyle w:val="TableContents"/>
              <w:bidi w:val="0"/>
              <w:spacing w:before="0" w:after="0"/>
              <w:ind w:left="0" w:right="0" w:hanging="0"/>
              <w:jc w:val="left"/>
              <w:rPr/>
            </w:pPr>
            <w:r>
              <w:rPr/>
              <w:t>​</w:t>
            </w:r>
          </w:p>
        </w:tc>
        <w:tc>
          <w:tcPr>
            <w:tcW w:w="2625"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Six-Months Ended</w:t>
            </w:r>
          </w:p>
        </w:tc>
      </w:tr>
      <w:tr>
        <w:trPr/>
        <w:tc>
          <w:tcPr>
            <w:tcW w:w="2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c>
          <w:tcPr>
            <w:tcW w:w="326" w:type="dxa"/>
            <w:tcBorders/>
            <w:vAlign w:val="center"/>
          </w:tcPr>
          <w:p>
            <w:pPr>
              <w:pStyle w:val="TableContents"/>
              <w:bidi w:val="0"/>
              <w:spacing w:before="0" w:after="0"/>
              <w:ind w:left="0" w:right="0" w:hanging="0"/>
              <w:jc w:val="left"/>
              <w:rPr/>
            </w:pPr>
            <w:r>
              <w:rPr/>
              <w:t>​</w:t>
            </w:r>
          </w:p>
        </w:tc>
        <w:tc>
          <w:tcPr>
            <w:tcW w:w="26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r>
      <w:tr>
        <w:trPr/>
        <w:tc>
          <w:tcPr>
            <w:tcW w:w="2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22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r>
      <w:tr>
        <w:trPr/>
        <w:tc>
          <w:tcPr>
            <w:tcW w:w="2281"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Monster Energy® Drinks</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597,922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441,719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1,158,740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896,282</w:t>
            </w:r>
          </w:p>
        </w:tc>
      </w:tr>
      <w:tr>
        <w:trPr/>
        <w:tc>
          <w:tcPr>
            <w:tcW w:w="22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Brands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55,137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106,909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98,695</w:t>
            </w:r>
          </w:p>
        </w:tc>
      </w:tr>
      <w:tr>
        <w:trPr/>
        <w:tc>
          <w:tcPr>
            <w:tcW w:w="2281"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Alcohol Brands</w:t>
            </w:r>
            <w:r>
              <w:rPr>
                <w:rFonts w:ascii="Times New Roman;Times;serif" w:hAnsi="Times New Roman;Times;serif"/>
                <w:sz w:val="15"/>
              </w:rPr>
              <w:t>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(13,460)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(9,611)</w:t>
            </w:r>
          </w:p>
        </w:tc>
      </w:tr>
      <w:tr>
        <w:trPr/>
        <w:tc>
          <w:tcPr>
            <w:tcW w:w="22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2,161</w:t>
            </w:r>
          </w:p>
        </w:tc>
      </w:tr>
      <w:tr>
        <w:trPr/>
        <w:tc>
          <w:tcPr>
            <w:tcW w:w="22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and unallocated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(124,328)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(106,645)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(244,677)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(215,088)</w:t>
            </w:r>
          </w:p>
        </w:tc>
      </w:tr>
      <w:tr>
        <w:trPr/>
        <w:tc>
          <w:tcPr>
            <w:tcW w:w="22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523,805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372,951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1,008,870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772,439</w:t>
            </w:r>
          </w:p>
        </w:tc>
      </w:tr>
    </w:tbl>
    <w:p>
      <w:pPr>
        <w:pStyle w:val="TextBody"/>
        <w:bidi w:val="0"/>
        <w:spacing w:before="0" w:after="0"/>
        <w:ind w:left="0" w:right="0" w:firstLine="720"/>
        <w:jc w:val="both"/>
        <w:rPr/>
      </w:pPr>
      <w:r>
        <w:rPr/>
        <w:t>​</w:t>
      </w:r>
    </w:p>
    <w:tbl>
      <w:tblPr>
        <w:tblW w:w="8108" w:type="dxa"/>
        <w:jc w:val="left"/>
        <w:tblInd w:w="0" w:type="dxa"/>
        <w:tblLayout w:type="fixed"/>
        <w:tblCellMar>
          <w:top w:w="0" w:type="dxa"/>
          <w:left w:w="0" w:type="dxa"/>
          <w:bottom w:w="0" w:type="dxa"/>
          <w:right w:w="0" w:type="dxa"/>
        </w:tblCellMar>
      </w:tblPr>
      <w:tblGrid>
        <w:gridCol w:w="2281"/>
        <w:gridCol w:w="326"/>
        <w:gridCol w:w="211"/>
        <w:gridCol w:w="901"/>
        <w:gridCol w:w="326"/>
        <w:gridCol w:w="211"/>
        <w:gridCol w:w="901"/>
        <w:gridCol w:w="326"/>
        <w:gridCol w:w="211"/>
        <w:gridCol w:w="931"/>
        <w:gridCol w:w="326"/>
        <w:gridCol w:w="211"/>
        <w:gridCol w:w="946"/>
      </w:tblGrid>
      <w:tr>
        <w:trPr/>
        <w:tc>
          <w:tcPr>
            <w:tcW w:w="2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133985" cy="175260"/>
                      <wp:effectExtent l="0" t="0" r="0" b="0"/>
                      <wp:wrapNone/>
                      <wp:docPr id="384" name="Frame3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572135" cy="175260"/>
                      <wp:effectExtent l="0" t="0" r="0" b="0"/>
                      <wp:wrapNone/>
                      <wp:docPr id="385" name="Frame385"/>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07010" cy="175260"/>
                      <wp:effectExtent l="0" t="0" r="0" b="0"/>
                      <wp:wrapNone/>
                      <wp:docPr id="386" name="Frame3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133985" cy="175260"/>
                      <wp:effectExtent l="0" t="0" r="0" b="0"/>
                      <wp:wrapNone/>
                      <wp:docPr id="387" name="Frame3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572135" cy="175260"/>
                      <wp:effectExtent l="0" t="0" r="0" b="0"/>
                      <wp:wrapNone/>
                      <wp:docPr id="388" name="Frame388"/>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207010" cy="175260"/>
                      <wp:effectExtent l="0" t="0" r="0" b="0"/>
                      <wp:wrapNone/>
                      <wp:docPr id="389" name="Frame3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133985" cy="175260"/>
                      <wp:effectExtent l="0" t="0" r="0" b="0"/>
                      <wp:wrapNone/>
                      <wp:docPr id="390" name="Frame3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591185" cy="175260"/>
                      <wp:effectExtent l="0" t="0" r="0" b="0"/>
                      <wp:wrapNone/>
                      <wp:docPr id="391" name="Frame39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07010" cy="175260"/>
                      <wp:effectExtent l="0" t="0" r="0" b="0"/>
                      <wp:wrapNone/>
                      <wp:docPr id="392" name="Frame3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133985" cy="175260"/>
                      <wp:effectExtent l="0" t="0" r="0" b="0"/>
                      <wp:wrapNone/>
                      <wp:docPr id="393" name="Frame3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600710" cy="175260"/>
                      <wp:effectExtent l="0" t="0" r="0" b="0"/>
                      <wp:wrapNone/>
                      <wp:docPr id="394" name="Frame394"/>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50"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w:t>
            </w:r>
          </w:p>
        </w:tc>
        <w:tc>
          <w:tcPr>
            <w:tcW w:w="326" w:type="dxa"/>
            <w:tcBorders/>
            <w:vAlign w:val="center"/>
          </w:tcPr>
          <w:p>
            <w:pPr>
              <w:pStyle w:val="TableContents"/>
              <w:bidi w:val="0"/>
              <w:spacing w:before="0" w:after="0"/>
              <w:ind w:left="0" w:right="0" w:hanging="0"/>
              <w:jc w:val="center"/>
              <w:rPr/>
            </w:pPr>
            <w:r>
              <w:rPr/>
              <w:t>​</w:t>
            </w:r>
          </w:p>
        </w:tc>
        <w:tc>
          <w:tcPr>
            <w:tcW w:w="2625"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Six-Months Ended</w:t>
            </w:r>
          </w:p>
        </w:tc>
      </w:tr>
      <w:tr>
        <w:trPr/>
        <w:tc>
          <w:tcPr>
            <w:tcW w:w="2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c>
          <w:tcPr>
            <w:tcW w:w="326" w:type="dxa"/>
            <w:tcBorders/>
            <w:vAlign w:val="center"/>
          </w:tcPr>
          <w:p>
            <w:pPr>
              <w:pStyle w:val="TableContents"/>
              <w:bidi w:val="0"/>
              <w:spacing w:before="0" w:after="0"/>
              <w:ind w:left="0" w:right="0" w:hanging="0"/>
              <w:jc w:val="center"/>
              <w:rPr/>
            </w:pPr>
            <w:r>
              <w:rPr/>
              <w:t>​</w:t>
            </w:r>
          </w:p>
        </w:tc>
        <w:tc>
          <w:tcPr>
            <w:tcW w:w="26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r>
      <w:tr>
        <w:trPr/>
        <w:tc>
          <w:tcPr>
            <w:tcW w:w="2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center"/>
              <w:rPr/>
            </w:pPr>
            <w:r>
              <w:rPr/>
              <w:t>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22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tax:</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r>
      <w:tr>
        <w:trPr/>
        <w:tc>
          <w:tcPr>
            <w:tcW w:w="2281"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Monster Energy® Drinks</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598,656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442,407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1,160,330</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897,540</w:t>
            </w:r>
          </w:p>
        </w:tc>
      </w:tr>
      <w:tr>
        <w:trPr/>
        <w:tc>
          <w:tcPr>
            <w:tcW w:w="22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Brands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55,149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106,938</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98,763</w:t>
            </w:r>
          </w:p>
        </w:tc>
      </w:tr>
      <w:tr>
        <w:trPr/>
        <w:tc>
          <w:tcPr>
            <w:tcW w:w="2281"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Alcohol Brands</w:t>
            </w:r>
            <w:r>
              <w:rPr>
                <w:rFonts w:ascii="Times New Roman;Times;serif" w:hAnsi="Times New Roman;Times;serif"/>
                <w:sz w:val="15"/>
              </w:rPr>
              <w:t>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(13,451)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(9,496)</w:t>
            </w:r>
          </w:p>
        </w:tc>
      </w:tr>
      <w:tr>
        <w:trPr/>
        <w:tc>
          <w:tcPr>
            <w:tcW w:w="22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1,364</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2,162</w:t>
            </w:r>
          </w:p>
        </w:tc>
      </w:tr>
      <w:tr>
        <w:trPr/>
        <w:tc>
          <w:tcPr>
            <w:tcW w:w="22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and unallocated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(109,914)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(114,881)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(218,658)</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(230,610)</w:t>
            </w:r>
          </w:p>
        </w:tc>
      </w:tr>
      <w:tr>
        <w:trPr/>
        <w:tc>
          <w:tcPr>
            <w:tcW w:w="22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538,964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366,170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1,036,523</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758,359</w:t>
            </w:r>
          </w:p>
        </w:tc>
      </w:tr>
    </w:tbl>
    <w:p>
      <w:pPr>
        <w:pStyle w:val="TextBody"/>
        <w:bidi w:val="0"/>
        <w:spacing w:before="0" w:after="0"/>
        <w:ind w:left="0" w:right="0" w:firstLine="360"/>
        <w:jc w:val="left"/>
        <w:rPr/>
      </w:pPr>
      <w:r>
        <w:rPr/>
        <w:t>​</w:t>
      </w:r>
    </w:p>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rFonts w:ascii="Times New Roman;Times;serif" w:hAnsi="Times New Roman;Times;serif"/>
                <w:i/>
                <w:sz w:val="16"/>
              </w:rPr>
            </w:pPr>
            <w:r>
              <w:rPr>
                <w:rFonts w:ascii="Times New Roman;Times;serif" w:hAnsi="Times New Roman;Times;serif"/>
                <w:i/>
                <w:sz w:val="16"/>
              </w:rPr>
              <w:t>(1)</w:t>
            </w:r>
          </w:p>
        </w:tc>
        <w:tc>
          <w:tcPr>
            <w:tcW w:w="9908" w:type="dxa"/>
            <w:tcBorders/>
            <w:vAlign w:val="center"/>
          </w:tcPr>
          <w:p>
            <w:pPr>
              <w:pStyle w:val="TableContents"/>
              <w:bidi w:val="0"/>
              <w:spacing w:before="0" w:after="283"/>
              <w:jc w:val="left"/>
              <w:rPr/>
            </w:pPr>
            <w:r>
              <w:rPr>
                <w:rFonts w:ascii="Times New Roman;Times;serif" w:hAnsi="Times New Roman;Times;serif"/>
                <w:b w:val="false"/>
                <w:i/>
                <w:sz w:val="16"/>
              </w:rPr>
              <w:t>Includes $10.0 million and $10.1</w:t>
            </w:r>
            <w:r>
              <w:rPr/>
              <w:t xml:space="preserve"> </w:t>
            </w:r>
            <w:r>
              <w:rPr>
                <w:rFonts w:ascii="Times New Roman;Times;serif" w:hAnsi="Times New Roman;Times;serif"/>
                <w:b w:val="false"/>
                <w:i/>
                <w:sz w:val="16"/>
              </w:rPr>
              <w:t>million for the three-months ended June 30, 2023 and 2022, respectively, related to the recognition of deferred revenue. Includes $19.9</w:t>
            </w:r>
            <w:r>
              <w:rPr/>
              <w:t xml:space="preserve"> </w:t>
            </w:r>
            <w:r>
              <w:rPr>
                <w:rFonts w:ascii="Times New Roman;Times;serif" w:hAnsi="Times New Roman;Times;serif"/>
                <w:b w:val="false"/>
                <w:i/>
                <w:sz w:val="16"/>
              </w:rPr>
              <w:t>million and $20.1</w:t>
            </w:r>
            <w:r>
              <w:rPr/>
              <w:t xml:space="preserve"> </w:t>
            </w:r>
            <w:r>
              <w:rPr>
                <w:rFonts w:ascii="Times New Roman;Times;serif" w:hAnsi="Times New Roman;Times;serif"/>
                <w:b w:val="false"/>
                <w:i/>
                <w:sz w:val="16"/>
              </w:rPr>
              <w:t>million for the six-months ended June 30, 2023 and 2022, respectively, related to the recognition of deferred revenue.</w:t>
            </w:r>
          </w:p>
        </w:tc>
      </w:tr>
    </w:tbl>
    <w:tbl>
      <w:tblPr>
        <w:tblW w:w="7052" w:type="dxa"/>
        <w:jc w:val="left"/>
        <w:tblInd w:w="0" w:type="dxa"/>
        <w:tblLayout w:type="fixed"/>
        <w:tblCellMar>
          <w:top w:w="0" w:type="dxa"/>
          <w:left w:w="0" w:type="dxa"/>
          <w:bottom w:w="0" w:type="dxa"/>
          <w:right w:w="0" w:type="dxa"/>
        </w:tblCellMar>
      </w:tblPr>
      <w:tblGrid>
        <w:gridCol w:w="331"/>
        <w:gridCol w:w="6721"/>
      </w:tblGrid>
      <w:tr>
        <w:trPr/>
        <w:tc>
          <w:tcPr>
            <w:tcW w:w="331" w:type="dxa"/>
            <w:tcBorders/>
            <w:vAlign w:val="center"/>
          </w:tcPr>
          <w:p>
            <w:pPr>
              <w:pStyle w:val="TableContents"/>
              <w:bidi w:val="0"/>
              <w:spacing w:before="0" w:after="283"/>
              <w:jc w:val="left"/>
              <w:rPr>
                <w:rFonts w:ascii="Times New Roman;Times;serif" w:hAnsi="Times New Roman;Times;serif"/>
                <w:i/>
                <w:sz w:val="16"/>
              </w:rPr>
            </w:pPr>
            <w:r>
              <w:rPr>
                <w:rFonts w:ascii="Times New Roman;Times;serif" w:hAnsi="Times New Roman;Times;serif"/>
                <w:i/>
                <w:sz w:val="16"/>
              </w:rPr>
              <w:t>(2)</w:t>
            </w:r>
          </w:p>
        </w:tc>
        <w:tc>
          <w:tcPr>
            <w:tcW w:w="6721" w:type="dxa"/>
            <w:tcBorders/>
            <w:vAlign w:val="center"/>
          </w:tcPr>
          <w:p>
            <w:pPr>
              <w:pStyle w:val="TableContents"/>
              <w:bidi w:val="0"/>
              <w:spacing w:before="0" w:after="283"/>
              <w:jc w:val="left"/>
              <w:rPr>
                <w:rFonts w:ascii="Times New Roman;Times;serif" w:hAnsi="Times New Roman;Times;serif"/>
                <w:b w:val="false"/>
                <w:i/>
                <w:sz w:val="16"/>
              </w:rPr>
            </w:pPr>
            <w:r>
              <w:rPr>
                <w:rFonts w:ascii="Times New Roman;Times;serif" w:hAnsi="Times New Roman;Times;serif"/>
                <w:b w:val="false"/>
                <w:i/>
                <w:sz w:val="16"/>
              </w:rPr>
              <w:t>For the six-months ended June 30, 2022, effectively from February 17, 2022 to June 30, 2022.</w:t>
            </w:r>
          </w:p>
        </w:tc>
      </w:tr>
    </w:tbl>
    <w:p>
      <w:pPr>
        <w:pStyle w:val="TextBody"/>
        <w:bidi w:val="0"/>
        <w:spacing w:before="0" w:after="0"/>
        <w:ind w:left="0" w:right="0" w:hanging="0"/>
        <w:jc w:val="left"/>
        <w:rPr/>
      </w:pPr>
      <w:r>
        <w:rPr/>
        <w:t>​</w:t>
      </w:r>
    </w:p>
    <w:tbl>
      <w:tblPr>
        <w:tblW w:w="7613" w:type="dxa"/>
        <w:jc w:val="left"/>
        <w:tblInd w:w="0" w:type="dxa"/>
        <w:tblLayout w:type="fixed"/>
        <w:tblCellMar>
          <w:top w:w="0" w:type="dxa"/>
          <w:left w:w="0" w:type="dxa"/>
          <w:bottom w:w="0" w:type="dxa"/>
          <w:right w:w="0" w:type="dxa"/>
        </w:tblCellMar>
      </w:tblPr>
      <w:tblGrid>
        <w:gridCol w:w="2656"/>
        <w:gridCol w:w="326"/>
        <w:gridCol w:w="211"/>
        <w:gridCol w:w="676"/>
        <w:gridCol w:w="326"/>
        <w:gridCol w:w="211"/>
        <w:gridCol w:w="676"/>
        <w:gridCol w:w="326"/>
        <w:gridCol w:w="211"/>
        <w:gridCol w:w="676"/>
        <w:gridCol w:w="326"/>
        <w:gridCol w:w="211"/>
        <w:gridCol w:w="781"/>
      </w:tblGrid>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133985" cy="175260"/>
                      <wp:effectExtent l="0" t="0" r="0" b="0"/>
                      <wp:wrapNone/>
                      <wp:docPr id="395" name="Frame3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429260" cy="175260"/>
                      <wp:effectExtent l="0" t="0" r="0" b="0"/>
                      <wp:wrapNone/>
                      <wp:docPr id="396" name="Frame39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207010" cy="175260"/>
                      <wp:effectExtent l="0" t="0" r="0" b="0"/>
                      <wp:wrapNone/>
                      <wp:docPr id="397" name="Frame3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133985" cy="175260"/>
                      <wp:effectExtent l="0" t="0" r="0" b="0"/>
                      <wp:wrapNone/>
                      <wp:docPr id="398" name="Frame3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429260" cy="175260"/>
                      <wp:effectExtent l="0" t="0" r="0" b="0"/>
                      <wp:wrapNone/>
                      <wp:docPr id="399" name="Frame39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07010" cy="175260"/>
                      <wp:effectExtent l="0" t="0" r="0" b="0"/>
                      <wp:wrapNone/>
                      <wp:docPr id="400" name="Frame4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133985" cy="175260"/>
                      <wp:effectExtent l="0" t="0" r="0" b="0"/>
                      <wp:wrapNone/>
                      <wp:docPr id="401" name="Frame4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429260" cy="175260"/>
                      <wp:effectExtent l="0" t="0" r="0" b="0"/>
                      <wp:wrapNone/>
                      <wp:docPr id="402" name="Frame40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07010" cy="175260"/>
                      <wp:effectExtent l="0" t="0" r="0" b="0"/>
                      <wp:wrapNone/>
                      <wp:docPr id="403" name="Frame4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133985" cy="175260"/>
                      <wp:effectExtent l="0" t="0" r="0" b="0"/>
                      <wp:wrapNone/>
                      <wp:docPr id="404" name="Frame4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495935" cy="175260"/>
                      <wp:effectExtent l="0" t="0" r="0" b="0"/>
                      <wp:wrapNone/>
                      <wp:docPr id="405" name="Frame40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00"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w:t>
            </w:r>
          </w:p>
        </w:tc>
        <w:tc>
          <w:tcPr>
            <w:tcW w:w="326" w:type="dxa"/>
            <w:tcBorders/>
            <w:vAlign w:val="center"/>
          </w:tcPr>
          <w:p>
            <w:pPr>
              <w:pStyle w:val="TableContents"/>
              <w:bidi w:val="0"/>
              <w:spacing w:before="0" w:after="0"/>
              <w:ind w:left="0" w:right="0" w:hanging="0"/>
              <w:jc w:val="left"/>
              <w:rPr/>
            </w:pPr>
            <w:r>
              <w:rPr/>
              <w:t>​</w:t>
            </w:r>
          </w:p>
        </w:tc>
        <w:tc>
          <w:tcPr>
            <w:tcW w:w="2205"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Six-Months Ended</w: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c>
          <w:tcPr>
            <w:tcW w:w="326" w:type="dxa"/>
            <w:tcBorders/>
            <w:vAlign w:val="center"/>
          </w:tcPr>
          <w:p>
            <w:pPr>
              <w:pStyle w:val="TableContents"/>
              <w:bidi w:val="0"/>
              <w:spacing w:before="0" w:after="0"/>
              <w:ind w:left="0" w:right="0" w:hanging="0"/>
              <w:jc w:val="left"/>
              <w:rPr/>
            </w:pPr>
            <w:r>
              <w:rPr/>
              <w:t>​</w:t>
            </w:r>
          </w:p>
        </w:tc>
        <w:tc>
          <w:tcPr>
            <w:tcW w:w="22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26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r>
      <w:tr>
        <w:trPr/>
        <w:tc>
          <w:tcPr>
            <w:tcW w:w="26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Drinks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8,817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8,102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17,806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16,262</w:t>
            </w:r>
          </w:p>
        </w:tc>
      </w:tr>
      <w:tr>
        <w:trPr/>
        <w:tc>
          <w:tcPr>
            <w:tcW w:w="26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Brands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w:t>
            </w:r>
          </w:p>
        </w:tc>
      </w:tr>
      <w:tr>
        <w:trPr/>
        <w:tc>
          <w:tcPr>
            <w:tcW w:w="26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Alcohol Brands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5,966</w:t>
            </w:r>
          </w:p>
        </w:tc>
      </w:tr>
      <w:tr>
        <w:trPr/>
        <w:tc>
          <w:tcPr>
            <w:tcW w:w="26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2,224</w:t>
            </w:r>
          </w:p>
        </w:tc>
      </w:tr>
      <w:tr>
        <w:trPr/>
        <w:tc>
          <w:tcPr>
            <w:tcW w:w="26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and unallocated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5,505</w:t>
            </w:r>
          </w:p>
        </w:tc>
      </w:tr>
      <w:tr>
        <w:trPr/>
        <w:tc>
          <w:tcPr>
            <w:tcW w:w="265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15,576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30,432</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bookmarkStart w:id="2031" w:name="Tc_VMsr4RbSb0-C_C5Py3FTBQ_8_5"/>
      <w:bookmarkStart w:id="2032" w:name="Tc_ErrTEWGY4E6ZrnyrzkNeqQ_8_2"/>
      <w:bookmarkStart w:id="2033" w:name="Tc_oU_OH27W60qb6cce35lndw_7_0"/>
      <w:bookmarkStart w:id="2034" w:name="Tc_Mp882QUMXUewgRD2pfNojA_6_0"/>
      <w:bookmarkStart w:id="2035" w:name="Tc_TbzrwoNpb0iSBlvJKvU7Ww_5_0"/>
      <w:bookmarkStart w:id="2036" w:name="Tc_XRdck7C2qkue11IGIpCBfw_4_5"/>
      <w:bookmarkStart w:id="2037" w:name="Tc_CCKZSfuNKUGn_zC3Rv65xA_4_2"/>
      <w:bookmarkStart w:id="2038" w:name="Tc_usmygXjIHEyDBwWBenG1KA_4_0"/>
      <w:bookmarkStart w:id="2039" w:name="Tc_dH1ccu3tvU2wRVUox1OulQ_3_0"/>
      <w:bookmarkStart w:id="2040" w:name="Tc_w1B9cjQa9Uiu63UNUQZp6w_2_5"/>
      <w:bookmarkStart w:id="2041" w:name="Tc_k_uyd0zqmk6dpXtBJw00Hw_2_2"/>
      <w:bookmarkStart w:id="2042" w:name="Tc_aAH_Wc5uFUWZ0qTyYPT91Q_1_5"/>
      <w:bookmarkStart w:id="2043" w:name="Tc_J126xRU-pUCQtvpaunjeMQ_1_2"/>
      <w:bookmarkEnd w:id="2031"/>
      <w:bookmarkEnd w:id="2032"/>
      <w:bookmarkEnd w:id="2033"/>
      <w:bookmarkEnd w:id="2034"/>
      <w:bookmarkEnd w:id="2035"/>
      <w:bookmarkEnd w:id="2036"/>
      <w:bookmarkEnd w:id="2037"/>
      <w:bookmarkEnd w:id="2038"/>
      <w:bookmarkEnd w:id="2039"/>
      <w:bookmarkEnd w:id="2040"/>
      <w:bookmarkEnd w:id="2041"/>
      <w:bookmarkEnd w:id="2042"/>
      <w:bookmarkEnd w:id="2043"/>
      <w:r>
        <w:rPr>
          <w:rFonts w:ascii="Times New Roman;Times;serif" w:hAnsi="Times New Roman;Times;serif"/>
          <w:sz w:val="20"/>
        </w:rPr>
        <w:t>Corporate and unallocated expenses for the three-months ended June 30, 2023 include $82.6 million of payroll costs, of which $18.1 million was attributable to stock-based compensation expenses (see Note 14 “Stock-Based Compensation”), as well as $25.3 million attributable to professional service expenses, including accounting and legal costs, and $16.4 million of other operating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Corporate and unallocated expenses for the three-months ended June 30, 2022 include $70.0 million of payroll costs, of which $16.0 million was attributable to stock-based compensation expenses (see Note 15 “Stock-Based Compensation”), as well as $16.9 million attributable to professional service expenses, including accounting and legal costs, and $19.7 million of other operating expenses.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Corporate and unallocated expenses for the six-months ended June 30, 2023 include $162.9 million of payroll costs, of which $33.8 million was attributable to stock-based compensation expenses (see Note 14 “Stock-Based Compensation”), as well as $47.4 million attributable to professional service expenses, including accounting and legal costs, and $34.4 million of other operating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Corporate and unallocated expenses for the six-months ended June 30, 2022 include $138.1 million of payroll costs, of which $32.2 million was attributable to stock-based compensation expenses (see Note 15 “Stock-Based Compensation”), as well as $43.3 million attributable to professional service expenses, including accounting and legal costs, and $33.7 million of other operating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Coca-Cola Europacific Partners accounted for approximately 14% of the Company’s net sales for both the three-months ended June 30, 2023 and 2022. Coca-Cola Europacific Partners accounted for approximately 13% of the Company’s net sales for both the six-months ended June 30, 2023 and 2022.</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Coca-Cola Consolidated, Inc. accounted for approximately 10% and 11% of the Company’s net sales for the three-months ended June 30, 2023 and 2022, respectively. Coca-Cola Consolidated, Inc. accounted for approximately 10% of the Company’s net sales for both the six-months ended June 30, 2023 and 2022.</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Reyes Holdings, LLC accounted for approximately 10% and 9% of the Company’s net sales for the three-months ended June 30, 2023 and 2022, respectively. Reyes Holdings, LLC accounted for approximately 10% and 9% of the Company’s net sales for the six-months ended June 30, 2023 and 2022,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to customers outside the United States amounted to $715.4 million and $649.0 million for the three-months ended June 30, 2023 and 2022, respectively. Such sales were approximately 39% of net sales for both the three-months ended June 30, 2023 and 2022. Net sales to customers outside the United States amounted to $1.34 billion and $1.20 billion for the six-months ended June 30, 2023 and 2022, respectively. Such sales were approximately 38% of net sales for both the six-months ended June 30, 2023 and 2022.</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Goodwill and other intangible assets for the Company’s reportable segments as of June 30, 2023 and December 31, 2022 were as follows:</w:t>
      </w:r>
    </w:p>
    <w:p>
      <w:pPr>
        <w:pStyle w:val="TextBody"/>
        <w:bidi w:val="0"/>
        <w:spacing w:before="0" w:after="0"/>
        <w:ind w:left="0" w:right="0" w:firstLine="720"/>
        <w:jc w:val="both"/>
        <w:rPr/>
      </w:pPr>
      <w:r>
        <w:rPr/>
        <w:t>​</w:t>
      </w:r>
    </w:p>
    <w:tbl>
      <w:tblPr>
        <w:tblW w:w="6250" w:type="dxa"/>
        <w:jc w:val="left"/>
        <w:tblInd w:w="0" w:type="dxa"/>
        <w:tblLayout w:type="fixed"/>
        <w:tblCellMar>
          <w:top w:w="0" w:type="dxa"/>
          <w:left w:w="0" w:type="dxa"/>
          <w:bottom w:w="0" w:type="dxa"/>
          <w:right w:w="0" w:type="dxa"/>
        </w:tblCellMar>
      </w:tblPr>
      <w:tblGrid>
        <w:gridCol w:w="3151"/>
        <w:gridCol w:w="326"/>
        <w:gridCol w:w="211"/>
        <w:gridCol w:w="931"/>
        <w:gridCol w:w="326"/>
        <w:gridCol w:w="220"/>
        <w:gridCol w:w="1085"/>
      </w:tblGrid>
      <w:tr>
        <w:trPr/>
        <w:tc>
          <w:tcPr>
            <w:tcW w:w="31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207010" cy="175260"/>
                      <wp:effectExtent l="0" t="0" r="0" b="0"/>
                      <wp:wrapNone/>
                      <wp:docPr id="406" name="Frame4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133985" cy="175260"/>
                      <wp:effectExtent l="0" t="0" r="0" b="0"/>
                      <wp:wrapNone/>
                      <wp:docPr id="407" name="Frame4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591185" cy="175260"/>
                      <wp:effectExtent l="0" t="0" r="0" b="0"/>
                      <wp:wrapNone/>
                      <wp:docPr id="408" name="Frame40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07010" cy="175260"/>
                      <wp:effectExtent l="0" t="0" r="0" b="0"/>
                      <wp:wrapNone/>
                      <wp:docPr id="409" name="Frame4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139700" cy="175260"/>
                      <wp:effectExtent l="0" t="0" r="0" b="0"/>
                      <wp:wrapNone/>
                      <wp:docPr id="410" name="Frame410"/>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688975" cy="175260"/>
                      <wp:effectExtent l="0" t="0" r="0" b="0"/>
                      <wp:wrapNone/>
                      <wp:docPr id="411" name="Frame411"/>
                      <a:graphic xmlns:a="http://schemas.openxmlformats.org/drawingml/2006/main">
                        <a:graphicData uri="http://schemas.microsoft.com/office/word/2010/wordprocessingShape">
                          <wps:wsp>
                            <wps:cNvSpPr txBox="1"/>
                            <wps:spPr>
                              <a:xfrm>
                                <a:off x="0" y="0"/>
                                <a:ext cx="688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w:t>
            </w:r>
          </w:p>
        </w:tc>
      </w:tr>
      <w:tr>
        <w:trPr/>
        <w:tc>
          <w:tcPr>
            <w:tcW w:w="31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and other intangible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1085" w:type="dxa"/>
            <w:tcBorders/>
            <w:shd w:fill="CCEEFF" w:val="clear"/>
            <w:vAlign w:val="center"/>
          </w:tcPr>
          <w:p>
            <w:pPr>
              <w:pStyle w:val="TableContents"/>
              <w:bidi w:val="0"/>
              <w:spacing w:before="0" w:after="0"/>
              <w:ind w:left="0" w:right="0" w:hanging="0"/>
              <w:jc w:val="right"/>
              <w:rPr/>
            </w:pPr>
            <w:r>
              <w:rPr/>
              <w:t>​</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Drinks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1,431,947</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1,424,212</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Brands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981,570</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10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979,896</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Alcohol Brands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228,524</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10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233,140</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1,103</w:t>
            </w:r>
          </w:p>
        </w:tc>
      </w:tr>
      <w:tr>
        <w:trPr/>
        <w:tc>
          <w:tcPr>
            <w:tcW w:w="31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2,642,041</w:t>
            </w:r>
          </w:p>
        </w:tc>
        <w:tc>
          <w:tcPr>
            <w:tcW w:w="326" w:type="dxa"/>
            <w:tcBorders/>
            <w:vAlign w:val="center"/>
          </w:tcPr>
          <w:p>
            <w:pPr>
              <w:pStyle w:val="TableContents"/>
              <w:bidi w:val="0"/>
              <w:spacing w:before="0" w:after="0"/>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2,638,351</w:t>
            </w:r>
          </w:p>
        </w:tc>
      </w:tr>
    </w:tbl>
    <w:p>
      <w:pPr>
        <w:pStyle w:val="TextBody"/>
        <w:pBdr/>
        <w:bidi w:val="0"/>
        <w:spacing w:before="0" w:after="240"/>
        <w:ind w:left="0" w:right="0" w:hanging="720"/>
        <w:jc w:val="left"/>
        <w:rPr/>
      </w:pPr>
      <w:r>
        <w:rPr/>
        <w:t>​</w:t>
      </w:r>
    </w:p>
    <w:p>
      <w:pPr>
        <w:pStyle w:val="TextBody"/>
        <w:bidi w:val="0"/>
        <w:spacing w:before="0" w:after="0"/>
        <w:ind w:left="0" w:right="0" w:hanging="0"/>
        <w:jc w:val="left"/>
        <w:rPr/>
      </w:pPr>
      <w:r>
        <w:rPr/>
        <w:t>​</w:t>
      </w:r>
    </w:p>
    <w:tbl>
      <w:tblPr>
        <w:tblW w:w="3587" w:type="dxa"/>
        <w:jc w:val="left"/>
        <w:tblInd w:w="0" w:type="dxa"/>
        <w:tblLayout w:type="fixed"/>
        <w:tblCellMar>
          <w:top w:w="0" w:type="dxa"/>
          <w:left w:w="0" w:type="dxa"/>
          <w:bottom w:w="0" w:type="dxa"/>
          <w:right w:w="0" w:type="dxa"/>
        </w:tblCellMar>
      </w:tblPr>
      <w:tblGrid>
        <w:gridCol w:w="376"/>
        <w:gridCol w:w="3211"/>
      </w:tblGrid>
      <w:tr>
        <w:trPr/>
        <w:tc>
          <w:tcPr>
            <w:tcW w:w="37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18.</w:t>
            </w:r>
          </w:p>
        </w:tc>
        <w:tc>
          <w:tcPr>
            <w:tcW w:w="321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RELATED PARTY TRANSACTIONS</w:t>
            </w:r>
          </w:p>
        </w:tc>
      </w:tr>
    </w:tbl>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TCCC controls approximately 19.5% of the voting interests of the Company. The TCCC Subsidiaries, the TCCC Related Parties and certain TCCC independent bottlers/distributors purchase and distribute the Company’s products in domestic and certain international markets. The Company also pays TCCC a commission based on certain sales within the TCCC distribution network.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shd w:fill="FFFFFF" w:val="clear"/>
        <w:bidi w:val="0"/>
        <w:spacing w:before="0" w:after="240"/>
        <w:ind w:left="0" w:right="0" w:firstLine="720"/>
        <w:jc w:val="both"/>
        <w:rPr>
          <w:rFonts w:ascii="Times New Roman;Times;serif" w:hAnsi="Times New Roman;Times;serif"/>
          <w:sz w:val="20"/>
        </w:rPr>
      </w:pPr>
      <w:bookmarkStart w:id="2044" w:name="Tc_49TrPtfzY0Kaf0cBdxfiIQ_6_5"/>
      <w:bookmarkStart w:id="2045" w:name="Tc_Z9ofySFCQkGVQYHSB3ilAA_6_2"/>
      <w:bookmarkStart w:id="2046" w:name="Tc_u_FtlY5C0ES93jEpnI3JDg_6_0"/>
      <w:bookmarkStart w:id="2047" w:name="Tc_LDsw0l1I2EaMFnNeBycpdQ_5_5"/>
      <w:bookmarkStart w:id="2048" w:name="Tc_siNqcXuIAkCk4EugAUCQQQ_5_2"/>
      <w:bookmarkStart w:id="2049" w:name="Tc_nrVryC8700WtqM9gXKoR9A_5_0"/>
      <w:bookmarkStart w:id="2050" w:name="Tc_XPlIdv9b_kaufLU3REmpGg_4_5"/>
      <w:bookmarkStart w:id="2051" w:name="Tc_sxAqH-V1KkSxqz2-WmAvWg_4_2"/>
      <w:bookmarkStart w:id="2052" w:name="Tc_oM9rOV2rJ0W6YHOxQi1LWQ_4_0"/>
      <w:bookmarkStart w:id="2053" w:name="Tc_PleK7ti5T0ipFndCnO8Gjw_3_5"/>
      <w:bookmarkStart w:id="2054" w:name="Tc_nYSXYuKLFkyFWZJ1HiI7mA_3_2"/>
      <w:bookmarkStart w:id="2055" w:name="Tc_qwrveE7NmUuUU7ZUD3Fwnw_3_0"/>
      <w:bookmarkStart w:id="2056" w:name="Tc_79asiFoAiECP_90WMH9Y_w_2_5"/>
      <w:bookmarkStart w:id="2057" w:name="Tc_no3H9MshOUiti-QBRYk9Rw_2_2"/>
      <w:bookmarkStart w:id="2058" w:name="Tc_rDc7YSlSykKKEk5DLfZJ4g_1_5"/>
      <w:bookmarkStart w:id="2059" w:name="Tc_yfWL0L2aJUW9FhE9m6cyGw_1_2"/>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r>
        <w:rPr>
          <w:rFonts w:ascii="Times New Roman;Times;serif" w:hAnsi="Times New Roman;Times;serif"/>
          <w:sz w:val="20"/>
        </w:rPr>
        <w:t>TCCC commissions, based on sales to the TCCC Subsidiaries and the TCCC Related Parties, were $18.1 million and $10.1 million for the three-months ended June 30, 2023 and 2022, respectively, and are included as a reduction to net sales. TCCC commissions, based on sales to the TCCC Subsidiaries and the TCCC Related Parties, were $33.8 million and $28.5 million for the six-months ended June 30, 2023 and 2022, respectively, and are included as a reduction to net 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TCCC commissions, based on sales to TCCC independent bottlers/distributors, were $8.1 million and $7.8 million for the three-months ended June 30, 2023 and 2022, respectively, and are included in operating expenses. TCCC commissions, based on sales to TCCC independent bottlers/distributors, were $16.9 million and $18.8 million for the six-months ended June 30, 2023 and 2022, respectively, and are included in operating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to the TCCC Subsidiaries for the three-months ended June 30, 2023 and 2022 were $33.2 million and $26.5 million, respectively. Net sales to the TCCC Subsidiaries for the six-months ended June 30, 2023 and 2022 were $68.3 million and $58.3 million,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also purchases concentrates from TCCC, which are then sold to certain of the Company’s bottlers/distributors. Concentrate purchases from TCCC were $8.3 million and $6.5 million for the three-months ended June 30, 2023 and 2022, respectively. Concentrate purchases from TCCC were $14.8 million and $15.0 million for the six-months ended June 30, 2023 and 2022,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Certain TCCC Subsidiaries also contract manufacture certain of the Company’s energy drinks. Such contract manufacturing expenses were $7.5 million and $4.8 million for the three-months ended June 30, 2023 and 2022, respectively. Such contract manufacturing expenses were $15.0 million and $14.0 million for the six-months ended June 30, 2023 and 2022, respectively.</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Accounts receivable, accounts payable, accrued promotional allowances and accrued liabilities related to the TCCC Subsidiaries were as follows at:</w:t>
      </w:r>
    </w:p>
    <w:p>
      <w:pPr>
        <w:pStyle w:val="TextBody"/>
        <w:bidi w:val="0"/>
        <w:spacing w:before="0" w:after="0"/>
        <w:ind w:left="0" w:right="0" w:firstLine="720"/>
        <w:jc w:val="both"/>
        <w:rPr/>
      </w:pPr>
      <w:r>
        <w:rPr/>
        <w:t>​</w:t>
      </w:r>
    </w:p>
    <w:tbl>
      <w:tblPr>
        <w:tblW w:w="5755" w:type="dxa"/>
        <w:jc w:val="left"/>
        <w:tblInd w:w="0" w:type="dxa"/>
        <w:tblLayout w:type="fixed"/>
        <w:tblCellMar>
          <w:top w:w="0" w:type="dxa"/>
          <w:left w:w="0" w:type="dxa"/>
          <w:bottom w:w="0" w:type="dxa"/>
          <w:right w:w="0" w:type="dxa"/>
        </w:tblCellMar>
      </w:tblPr>
      <w:tblGrid>
        <w:gridCol w:w="2791"/>
        <w:gridCol w:w="326"/>
        <w:gridCol w:w="211"/>
        <w:gridCol w:w="796"/>
        <w:gridCol w:w="326"/>
        <w:gridCol w:w="277"/>
        <w:gridCol w:w="1028"/>
      </w:tblGrid>
      <w:tr>
        <w:trPr/>
        <w:tc>
          <w:tcPr>
            <w:tcW w:w="27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07010" cy="175260"/>
                      <wp:effectExtent l="0" t="0" r="0" b="0"/>
                      <wp:wrapNone/>
                      <wp:docPr id="412" name="Frame4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133985" cy="175260"/>
                      <wp:effectExtent l="0" t="0" r="0" b="0"/>
                      <wp:wrapNone/>
                      <wp:docPr id="413" name="Frame4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505460" cy="175260"/>
                      <wp:effectExtent l="0" t="0" r="0" b="0"/>
                      <wp:wrapNone/>
                      <wp:docPr id="414" name="Frame41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07010" cy="175260"/>
                      <wp:effectExtent l="0" t="0" r="0" b="0"/>
                      <wp:wrapNone/>
                      <wp:docPr id="415" name="Frame4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175895" cy="175260"/>
                      <wp:effectExtent l="0" t="0" r="0" b="0"/>
                      <wp:wrapNone/>
                      <wp:docPr id="416" name="Frame416"/>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652780" cy="175260"/>
                      <wp:effectExtent l="0" t="0" r="0" b="0"/>
                      <wp:wrapNone/>
                      <wp:docPr id="417" name="Frame417"/>
                      <a:graphic xmlns:a="http://schemas.openxmlformats.org/drawingml/2006/main">
                        <a:graphicData uri="http://schemas.microsoft.com/office/word/2010/wordprocessingShape">
                          <wps:wsp>
                            <wps:cNvSpPr txBox="1"/>
                            <wps:spPr>
                              <a:xfrm>
                                <a:off x="0" y="0"/>
                                <a:ext cx="652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c>
          <w:tcPr>
            <w:tcW w:w="326"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w:t>
            </w:r>
          </w:p>
        </w:tc>
      </w:tr>
      <w:tr>
        <w:trPr/>
        <w:tc>
          <w:tcPr>
            <w:tcW w:w="27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120,640</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88,169</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(41,542)</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(35,467)</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promotional allowances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(10,807)</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(11,222)</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(22,651)</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(14,733)</w:t>
            </w:r>
          </w:p>
        </w:tc>
      </w:tr>
    </w:tbl>
    <w:p>
      <w:pPr>
        <w:pStyle w:val="TextBody"/>
        <w:pBdr/>
        <w:bidi w:val="0"/>
        <w:spacing w:before="0" w:after="0"/>
        <w:ind w:left="0" w:right="0" w:hanging="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One director of the Company through certain trusts, and a family member of one director are the principal owners of a company that provides promotional materials to the Company. Expenses incurred with such company in connection with promotional materials purchased during the three-months ended June 30, 2023 and 2022 was $1.0 million and $2.3 million, respectively. Expenses incurred with such company in connection with promotional materials purchased during the six-months ended June 30, 2023 and 2022 was $2.1 million and $3.4 million,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occasionally charters a private aircraft that is indirectly owned by Mr. Rodney C. Sacks, Co-Chief Executive Officer and Chairman of the Board of Directors. On certain occasions, Mr. Sacks is accompanied by guests and other Company personnel when using such aircraft for business travel. During the three-months ended June 30, 2023, the Company incurred costs of $0.03 million, amounts the Company believes is commensurate with market rates for comparable travel. No amounts were incurred during the three-months ended June 30, 2022. During the six-months ended June 30, 2023 and 2022, the Company incurred costs of $0.03 million and $0.08 million, respectively, amounts the Company believes is commensurate with market rates for comparable travel.</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December 2018, the Company and a director of the Company entered into a 50-50 partnership that purchased land, and real property thereon, in Kona, Hawaii for the purpose of producing coffee products. This partnership meets the definition of a Variable Interest Entity (“VIE”) for which the Company has determined that it is the primary beneficiary. Therefore, the Company consolidates the VIE in the accompanying condensed consolidated financial statements. The aggregate carrying values of the VIE’s assets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liabilities, after elimination of any intercompany transactions and balances, as well as the results of operations for all periods presented, are not material to the Company’s condensed consolidated financial statements.</w:t>
      </w:r>
    </w:p>
    <w:p>
      <w:pPr>
        <w:pStyle w:val="TextBody"/>
        <w:bidi w:val="0"/>
        <w:spacing w:before="0" w:after="0"/>
        <w:ind w:left="0" w:right="0" w:hanging="0"/>
        <w:jc w:val="left"/>
        <w:rPr/>
      </w:pPr>
      <w:r>
        <w:rPr/>
        <w:t>​</w:t>
      </w:r>
    </w:p>
    <w:tbl>
      <w:tblPr>
        <w:tblW w:w="2552" w:type="dxa"/>
        <w:jc w:val="left"/>
        <w:tblInd w:w="0" w:type="dxa"/>
        <w:tblLayout w:type="fixed"/>
        <w:tblCellMar>
          <w:top w:w="0" w:type="dxa"/>
          <w:left w:w="0" w:type="dxa"/>
          <w:bottom w:w="0" w:type="dxa"/>
          <w:right w:w="0" w:type="dxa"/>
        </w:tblCellMar>
      </w:tblPr>
      <w:tblGrid>
        <w:gridCol w:w="376"/>
        <w:gridCol w:w="2176"/>
      </w:tblGrid>
      <w:tr>
        <w:trPr/>
        <w:tc>
          <w:tcPr>
            <w:tcW w:w="37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19.</w:t>
            </w:r>
          </w:p>
        </w:tc>
        <w:tc>
          <w:tcPr>
            <w:tcW w:w="217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SUBSEQUENT EVENTS</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July 31, 2023, a subsidiary of the Company, Blast Asset Acquisition LLC, completed its acquisition of substantially all of the assets of Vital Pharmaceuticals, Inc. and its debtor affiliates (collectively, “Bang Energy”) for a purchase price of approximately $362.0 million in cash, subject to adjustments. The acquired assets include Bang Energy® drinks and a beverage production facility in Phoenix, AZ.</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2060" w:name="ITEM2MANAGEMENTSDISCUSSIONANDANALYSIS_40"/>
      <w:bookmarkStart w:id="2061" w:name="_62db653d_4618_4c97_a1da_e3f36220bd2b"/>
      <w:bookmarkEnd w:id="2060"/>
      <w:bookmarkEnd w:id="2061"/>
      <w:r>
        <w:rPr>
          <w:rFonts w:ascii="Times New Roman;Times;serif" w:hAnsi="Times New Roman;Times;serif"/>
          <w:b/>
          <w:sz w:val="20"/>
        </w:rPr>
        <w:t>ITEM 2.  MANAGEMENT’S DISCUSSION AND ANALYSIS OF FINANCIAL CONDITION AND RESULTS</w:t>
      </w:r>
      <w:r>
        <w:rPr>
          <w:rFonts w:ascii="Times New Roman;Times;serif" w:hAnsi="Times New Roman;Times;serif"/>
          <w:sz w:val="20"/>
        </w:rPr>
        <w:t xml:space="preserve"> </w:t>
      </w:r>
      <w:r>
        <w:rPr>
          <w:rFonts w:ascii="Times New Roman;Times;serif" w:hAnsi="Times New Roman;Times;serif"/>
          <w:b/>
          <w:sz w:val="20"/>
        </w:rPr>
        <w:t>OF OPERATIONS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When this report uses the words “the Company”, “we”, “us”, and “our”, these words refer to Monster Beverage Corporation and its subsidiaries, unless the context otherwise requires. Based in Corona, California, Monster Beverage Corporation is a holding company and conducts no operating business except through its consolidated subsidiaries. The Company’s subsidiaries primarily develop and market energy drinks, and to a lesser extent, craft beers, hard seltzers and flavored malt beverages (“FMBs”).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Stock Split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February 28, 2023, we announced a two-for-one stock split of our common stock to be effected in the form of a 100% stock dividend (the “Stock Split”). The common stock dividend was issued on March 27, 2023 and our common stock began trading at the split adjusted price on March 28, 2023. Accordingly, all per share amounts, average common stock outstanding, common stock outstanding, common stock repurchased and equity-based compensation presented in this Form 10-Q have been adjusted retroactively, where applicable, to reflect the Stock Split.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Pricing Actions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implemented a price increase effective September 1, 2022 in the United States and implemented price increases at various times in certain international markets during 2022 and the first and second quarters of 2023 (the “Pricing Actions”), all of which positively impacted gross profit margins in the second quarter of 2023.</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Gross Profit Margins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Gross profit as a percentage of net sales for the three-months ended June 30, 2023 improved to 52.5% from 47.1% for the comparative three-months ended June 30, 2022. This improvement was primarily attributable to (i) Pricing Actions, (ii) a reduction in certain freight-in costs and (iii) decreased aluminum can costs.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develop, market, sell and distribute energy drink beverages and concentrates for energy drink beverages, primarily under the following brand names:</w:t>
      </w:r>
    </w:p>
    <w:p>
      <w:pPr>
        <w:pStyle w:val="TextBody"/>
        <w:bidi w:val="0"/>
        <w:spacing w:before="0" w:after="0"/>
        <w:ind w:left="0" w:right="0" w:firstLine="720"/>
        <w:jc w:val="both"/>
        <w:rPr/>
      </w:pPr>
      <w:r>
        <w:rPr/>
        <w:t>​</w:t>
      </w:r>
    </w:p>
    <w:tbl>
      <w:tblPr>
        <w:tblW w:w="6857" w:type="dxa"/>
        <w:jc w:val="left"/>
        <w:tblInd w:w="0" w:type="dxa"/>
        <w:tblLayout w:type="fixed"/>
        <w:tblCellMar>
          <w:top w:w="0" w:type="dxa"/>
          <w:left w:w="0" w:type="dxa"/>
          <w:bottom w:w="0" w:type="dxa"/>
          <w:right w:w="0" w:type="dxa"/>
        </w:tblCellMar>
      </w:tblPr>
      <w:tblGrid>
        <w:gridCol w:w="3436"/>
        <w:gridCol w:w="3421"/>
      </w:tblGrid>
      <w:tr>
        <w:trPr/>
        <w:tc>
          <w:tcPr>
            <w:tcW w:w="3436"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Monster Energy®</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NOS®</w:t>
            </w:r>
          </w:p>
        </w:tc>
      </w:tr>
      <w:tr>
        <w:trPr/>
        <w:tc>
          <w:tcPr>
            <w:tcW w:w="3436"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Monster Energy Ultra®</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Full Throttle®</w:t>
            </w:r>
          </w:p>
        </w:tc>
      </w:tr>
      <w:tr>
        <w:trPr/>
        <w:tc>
          <w:tcPr>
            <w:tcW w:w="3436"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Monster Rehab®</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Burn®</w:t>
            </w:r>
          </w:p>
        </w:tc>
      </w:tr>
      <w:tr>
        <w:trPr/>
        <w:tc>
          <w:tcPr>
            <w:tcW w:w="3436"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Monster Energy® Nitro</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Mother®</w:t>
            </w:r>
          </w:p>
        </w:tc>
      </w:tr>
      <w:tr>
        <w:trPr/>
        <w:tc>
          <w:tcPr>
            <w:tcW w:w="3436"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Java Monster®</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Nalu®</w:t>
            </w:r>
          </w:p>
        </w:tc>
      </w:tr>
      <w:tr>
        <w:trPr/>
        <w:tc>
          <w:tcPr>
            <w:tcW w:w="3436"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Punch Monster®</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Ultra Energy®</w:t>
            </w:r>
          </w:p>
        </w:tc>
      </w:tr>
      <w:tr>
        <w:trPr/>
        <w:tc>
          <w:tcPr>
            <w:tcW w:w="3436"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Juice Monster®</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Play® and Power Play® (stylized)</w:t>
            </w:r>
          </w:p>
        </w:tc>
      </w:tr>
      <w:tr>
        <w:trPr/>
        <w:tc>
          <w:tcPr>
            <w:tcW w:w="3436"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Monster Hydro® Energy Water</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Relentless®</w:t>
            </w:r>
          </w:p>
        </w:tc>
      </w:tr>
      <w:tr>
        <w:trPr/>
        <w:tc>
          <w:tcPr>
            <w:tcW w:w="3436"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Monster Hydro® Super Sport</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BPM®</w:t>
            </w:r>
          </w:p>
        </w:tc>
      </w:tr>
      <w:tr>
        <w:trPr/>
        <w:tc>
          <w:tcPr>
            <w:tcW w:w="3436"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Monster Super Fuel®</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BU®</w:t>
            </w:r>
          </w:p>
        </w:tc>
      </w:tr>
      <w:tr>
        <w:trPr/>
        <w:tc>
          <w:tcPr>
            <w:tcW w:w="3436"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Monster Dragon Tea®</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Gladiator®</w:t>
            </w:r>
          </w:p>
        </w:tc>
      </w:tr>
      <w:tr>
        <w:trPr/>
        <w:tc>
          <w:tcPr>
            <w:tcW w:w="3436"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Reign Total Body Fuel®</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Samurai®</w:t>
            </w:r>
          </w:p>
        </w:tc>
      </w:tr>
      <w:tr>
        <w:trPr/>
        <w:tc>
          <w:tcPr>
            <w:tcW w:w="3436"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Reign Inferno® Thermogenic Fuel</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Live+®</w:t>
            </w:r>
          </w:p>
        </w:tc>
      </w:tr>
      <w:tr>
        <w:trPr/>
        <w:tc>
          <w:tcPr>
            <w:tcW w:w="3436"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Reign Storm®</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Predator®</w:t>
            </w:r>
          </w:p>
        </w:tc>
      </w:tr>
      <w:tr>
        <w:trPr/>
        <w:tc>
          <w:tcPr>
            <w:tcW w:w="3436"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True North®</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Fury®</w:t>
            </w:r>
          </w:p>
        </w:tc>
      </w:tr>
    </w:tbl>
    <w:p>
      <w:pPr>
        <w:pStyle w:val="TextBody"/>
        <w:bidi w:val="0"/>
        <w:spacing w:before="0" w:after="0"/>
        <w:ind w:left="0" w:right="0" w:hanging="0"/>
        <w:jc w:val="left"/>
        <w:rPr/>
      </w:pPr>
      <w:r>
        <w:rPr/>
        <w:t>​</w:t>
      </w:r>
    </w:p>
    <w:p>
      <w:pPr>
        <w:pStyle w:val="TextBody"/>
        <w:bidi w:val="0"/>
        <w:spacing w:lineRule="auto" w:line="240" w:before="0" w:after="0"/>
        <w:ind w:left="0" w:right="0" w:firstLine="720"/>
        <w:jc w:val="both"/>
        <w:rPr>
          <w:rFonts w:ascii="Times New Roman;Times;serif" w:hAnsi="Times New Roman;Times;serif"/>
          <w:sz w:val="20"/>
        </w:rPr>
      </w:pPr>
      <w:r>
        <w:rPr>
          <w:rFonts w:ascii="Times New Roman;Times;serif" w:hAnsi="Times New Roman;Times;serif"/>
          <w:sz w:val="20"/>
        </w:rPr>
        <w:t>We also develop, market, sell and distribute craft beers, FMBs and hard seltzers under a number of brands, including Jai Alai® IPA, Florida Man</w:t>
      </w:r>
      <w:r>
        <w:rPr>
          <w:rFonts w:ascii="Times New Roman;Times;serif" w:hAnsi="Times New Roman;Times;serif"/>
          <w:sz w:val="15"/>
        </w:rPr>
        <w:t>TM</w:t>
      </w:r>
      <w:r>
        <w:rPr>
          <w:rFonts w:ascii="Times New Roman;Times;serif" w:hAnsi="Times New Roman;Times;serif"/>
          <w:sz w:val="20"/>
        </w:rPr>
        <w:t xml:space="preserve"> IPA, Dale’s Pale Ale®, Wild Basin® Hard Seltzers, Dallas Blonde®, Deep Ellum</w:t>
      </w:r>
      <w:r>
        <w:rPr>
          <w:rFonts w:ascii="Times New Roman;Times;serif" w:hAnsi="Times New Roman;Times;serif"/>
          <w:sz w:val="15"/>
        </w:rPr>
        <w:t>TM</w:t>
      </w:r>
      <w:r>
        <w:rPr>
          <w:rFonts w:ascii="Times New Roman;Times;serif" w:hAnsi="Times New Roman;Times;serif"/>
          <w:sz w:val="20"/>
        </w:rPr>
        <w:t xml:space="preserve"> IPA, Perrin Brewing Company</w:t>
      </w:r>
      <w:r>
        <w:rPr>
          <w:rFonts w:ascii="Times New Roman;Times;serif" w:hAnsi="Times New Roman;Times;serif"/>
          <w:sz w:val="15"/>
        </w:rPr>
        <w:t>TM</w:t>
      </w:r>
      <w:r>
        <w:rPr>
          <w:rFonts w:ascii="Times New Roman;Times;serif" w:hAnsi="Times New Roman;Times;serif"/>
          <w:sz w:val="20"/>
        </w:rPr>
        <w:t xml:space="preserve"> Black Ale, Hop Rising® Double IPA, Wasatch® Apricot Hefeweizen, The Beast Unleashed</w:t>
      </w:r>
      <w:r>
        <w:rPr>
          <w:rFonts w:ascii="Times New Roman;Times;serif" w:hAnsi="Times New Roman;Times;serif"/>
          <w:sz w:val="15"/>
        </w:rPr>
        <w:t>TM</w:t>
      </w:r>
      <w:r>
        <w:rPr>
          <w:rFonts w:ascii="Times New Roman;Times;serif" w:hAnsi="Times New Roman;Times;serif"/>
          <w:sz w:val="20"/>
        </w:rPr>
        <w:t xml:space="preserve"> and a host of other brands.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also develop, market, sell and distribute still and sparkling waters under the Monster Tour Water® brand name.</w:t>
      </w:r>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We have four operating and reportable segments: (i) Monster Energy® Drinks segment (“Monster Energy® Drinks”), which is primarily comprised of our Monster Energy® drinks, Reign Total Body Fuel® high performance energy drinks, Monster Tour Water® and Reign Storm® total wellness energy drinks, (ii) Strategic Brands segment (“Strategic Brands”), which is primarily comprised of the various energy drink brands acquired from The Coca-Cola Company (“TCCC”) in 2015 as well as our affordable energy brands, (iii) Alcohol Brands segment (“Alcohol Brands”), which is primarily comprised of the various craft beers and hard seltzers purchased as part of our acquisition of CANarchy Craft Brewery Collective LLC (“CANarchy”) on February 17, 2022 (the “CANarchy Transaction”) as well as The Beast Unleashed</w:t>
      </w:r>
      <w:r>
        <w:rPr>
          <w:rFonts w:ascii="Times New Roman;Times;serif" w:hAnsi="Times New Roman;Times;serif"/>
          <w:sz w:val="15"/>
        </w:rPr>
        <w:t>TM</w:t>
      </w:r>
      <w:r>
        <w:rPr>
          <w:rFonts w:ascii="Times New Roman;Times;serif" w:hAnsi="Times New Roman;Times;serif"/>
          <w:sz w:val="20"/>
        </w:rPr>
        <w:t xml:space="preserve"> FMBs and (iv) Other segment (“Other”), which is primarily comprised of certain products sold by American Fruits and Flavors LLC (“AFF”), a wholly-owned subsidiary of the Company, to independent third-party customers (the “AFF Third-Party Products”).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the three-months ended June 30, 2023, we continued to expand our existing drink portfolio by adding additional products to our portfolio in a number of countries and further developed our distribution markets. During the three-months ended June 30, 2023, we sold the following new product to our customers:</w:t>
      </w:r>
    </w:p>
    <w:tbl>
      <w:tblPr>
        <w:tblW w:w="1911" w:type="dxa"/>
        <w:jc w:val="left"/>
        <w:tblInd w:w="0" w:type="dxa"/>
        <w:tblLayout w:type="fixed"/>
        <w:tblCellMar>
          <w:top w:w="28" w:type="dxa"/>
          <w:left w:w="28" w:type="dxa"/>
          <w:bottom w:w="28" w:type="dxa"/>
          <w:right w:w="28" w:type="dxa"/>
        </w:tblCellMar>
      </w:tblPr>
      <w:tblGrid>
        <w:gridCol w:w="124"/>
        <w:gridCol w:w="256"/>
        <w:gridCol w:w="15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5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Predator® Punch</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normal course of business, we discontinue certain products and/or product lines. Those products or product lines discontinued in the three- and six-months ended June 30, 2023, either individually or in aggregate, did not have a material adverse impact on our financial position, results of operations or liquidity.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net sales of $1.85 billion for the three-months ended June 30, 2023 represented record sales for our second fiscal quarter. Net changes in foreign currency exchange rates had an unfavorable impact on net sales of approximately $38.4 million for the three-months ended June 30, 2023.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vast majority of our net sales are derived from our Monster Energy® Drinks segment. Net sales of our Monster Energy® Drinks segment were $1.69 billion for the three-months ended June 30,2023. Net sales of our Strategic Brands segment were $99.7 million for the three-months ended June 30, 2023. Net sales of our Alcohol Brands segment were $61.1 million for the three-months ended June 30, 2023. Net sales of our Other segment were $7.3 million for the three-months ended June 30,2023.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Monster Energy® Drinks segment represented 90.9% and 92.9% of our net sales for the three-months ended June 30, 2023 and 2022, respectively. Our Strategic Brands segment represented 5.4% and 4.8% of our net sales for the three-months ended June 30, 2023 and 2022, respectively. Our Alcohol Brands Segment represented 3.3% and 2.0% of our net sales for the three-months ended June 30, 2023 and 2022, respectively. Our Other segment represented 0.4% and 0.3% of our net sales for the three-months ended June 30, 2023 and 2022,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growth strategy includes further developing our domestic markets, expanding our international business and growing our business into new sectors, such as the alcohol beverage sector. Net sales to customers outside the United States were $715.4 million for the three-months ended June 30, 2023, an increase of approximately $66.4 million, or 10.2% higher than net sales to customers outside of the United States of $649.0 million for the three-months ended June 30, 2022. Such sales were approximately 39% of net sales for both the three-months ended June 30, 2023 and 2022. Net changes in foreign currency exchange rates had an unfavorable impact on net sales to customers outside of the United States of approximately $38.4 million for the three-months ended June 30, 2023. Net sales to customers outside the United States, on a foreign currency adjusted basis, increased 16.1% for the three-months ended June 30, 2023.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Our non-alcohol customers are primarily full service beverage bottlers/distributors, retail grocery and specialty chains, wholesalers, club stores, mass merchandisers, convenience and gas chains, foodservice customers, value stores, e-commerce retailers and the military. Our alcohol customers are primarily beer distributors who in turn sell to retailers within the alcohol distribution system. Percentages of our gross billings to our various customer types for the three- and six-months ended June 30, 2023 and 2022 are reflected below. Such information includes sales made by us directly to the customer types concerned, which include our full service beverage bottlers/distributors in the United States. Such full service beverage bottlers/distributors in turn sell certain of our products to some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same customer types listed below. We limit our description of our customer types to include only our sales to our full service bottlers/distributors without reference to such bottlers/distributors’ sales to their own customers.</w:t>
      </w:r>
    </w:p>
    <w:p>
      <w:pPr>
        <w:pStyle w:val="TextBody"/>
        <w:bidi w:val="0"/>
        <w:spacing w:before="0" w:after="0"/>
        <w:ind w:left="0" w:right="0" w:firstLine="720"/>
        <w:jc w:val="both"/>
        <w:rPr/>
      </w:pPr>
      <w:r>
        <w:rPr/>
        <w:t>​</w:t>
      </w:r>
    </w:p>
    <w:tbl>
      <w:tblPr>
        <w:tblW w:w="10073" w:type="dxa"/>
        <w:jc w:val="left"/>
        <w:tblInd w:w="0" w:type="dxa"/>
        <w:tblLayout w:type="fixed"/>
        <w:tblCellMar>
          <w:top w:w="0" w:type="dxa"/>
          <w:left w:w="0" w:type="dxa"/>
          <w:bottom w:w="0" w:type="dxa"/>
          <w:right w:w="0" w:type="dxa"/>
        </w:tblCellMar>
      </w:tblPr>
      <w:tblGrid>
        <w:gridCol w:w="5641"/>
        <w:gridCol w:w="326"/>
        <w:gridCol w:w="681"/>
        <w:gridCol w:w="467"/>
        <w:gridCol w:w="681"/>
        <w:gridCol w:w="326"/>
        <w:gridCol w:w="624"/>
        <w:gridCol w:w="387"/>
        <w:gridCol w:w="624"/>
        <w:gridCol w:w="316"/>
      </w:tblGrid>
      <w:tr>
        <w:trPr/>
        <w:tc>
          <w:tcPr>
            <w:tcW w:w="5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3582035" cy="175260"/>
                      <wp:effectExtent l="0" t="0" r="0" b="0"/>
                      <wp:wrapNone/>
                      <wp:docPr id="418" name="Frame418"/>
                      <a:graphic xmlns:a="http://schemas.openxmlformats.org/drawingml/2006/main">
                        <a:graphicData uri="http://schemas.microsoft.com/office/word/2010/wordprocessingShape">
                          <wps:wsp>
                            <wps:cNvSpPr txBox="1"/>
                            <wps:spPr>
                              <a:xfrm>
                                <a:off x="0" y="0"/>
                                <a:ext cx="3582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207010" cy="175260"/>
                      <wp:effectExtent l="0" t="0" r="0" b="0"/>
                      <wp:wrapNone/>
                      <wp:docPr id="419" name="Frame4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432435" cy="175260"/>
                      <wp:effectExtent l="0" t="0" r="0" b="0"/>
                      <wp:wrapNone/>
                      <wp:docPr id="420" name="Frame420"/>
                      <a:graphic xmlns:a="http://schemas.openxmlformats.org/drawingml/2006/main">
                        <a:graphicData uri="http://schemas.microsoft.com/office/word/2010/wordprocessingShape">
                          <wps:wsp>
                            <wps:cNvSpPr txBox="1"/>
                            <wps:spPr>
                              <a:xfrm>
                                <a:off x="0" y="0"/>
                                <a:ext cx="432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296545" cy="175260"/>
                      <wp:effectExtent l="0" t="0" r="0" b="0"/>
                      <wp:wrapNone/>
                      <wp:docPr id="421" name="Frame421"/>
                      <a:graphic xmlns:a="http://schemas.openxmlformats.org/drawingml/2006/main">
                        <a:graphicData uri="http://schemas.microsoft.com/office/word/2010/wordprocessingShape">
                          <wps:wsp>
                            <wps:cNvSpPr txBox="1"/>
                            <wps:spPr>
                              <a:xfrm>
                                <a:off x="0" y="0"/>
                                <a:ext cx="296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432435" cy="175260"/>
                      <wp:effectExtent l="0" t="0" r="0" b="0"/>
                      <wp:wrapNone/>
                      <wp:docPr id="422" name="Frame422"/>
                      <a:graphic xmlns:a="http://schemas.openxmlformats.org/drawingml/2006/main">
                        <a:graphicData uri="http://schemas.microsoft.com/office/word/2010/wordprocessingShape">
                          <wps:wsp>
                            <wps:cNvSpPr txBox="1"/>
                            <wps:spPr>
                              <a:xfrm>
                                <a:off x="0" y="0"/>
                                <a:ext cx="432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207010" cy="175260"/>
                      <wp:effectExtent l="0" t="0" r="0" b="0"/>
                      <wp:wrapNone/>
                      <wp:docPr id="423" name="Frame4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396240" cy="175260"/>
                      <wp:effectExtent l="0" t="0" r="0" b="0"/>
                      <wp:wrapNone/>
                      <wp:docPr id="424" name="Frame424"/>
                      <a:graphic xmlns:a="http://schemas.openxmlformats.org/drawingml/2006/main">
                        <a:graphicData uri="http://schemas.microsoft.com/office/word/2010/wordprocessingShape">
                          <wps:wsp>
                            <wps:cNvSpPr txBox="1"/>
                            <wps:spPr>
                              <a:xfrm>
                                <a:off x="0" y="0"/>
                                <a:ext cx="396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245745" cy="175260"/>
                      <wp:effectExtent l="0" t="0" r="0" b="0"/>
                      <wp:wrapNone/>
                      <wp:docPr id="425" name="Frame425"/>
                      <a:graphic xmlns:a="http://schemas.openxmlformats.org/drawingml/2006/main">
                        <a:graphicData uri="http://schemas.microsoft.com/office/word/2010/wordprocessingShape">
                          <wps:wsp>
                            <wps:cNvSpPr txBox="1"/>
                            <wps:spPr>
                              <a:xfrm>
                                <a:off x="0" y="0"/>
                                <a:ext cx="245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396240" cy="175260"/>
                      <wp:effectExtent l="0" t="0" r="0" b="0"/>
                      <wp:wrapNone/>
                      <wp:docPr id="426" name="Frame426"/>
                      <a:graphic xmlns:a="http://schemas.openxmlformats.org/drawingml/2006/main">
                        <a:graphicData uri="http://schemas.microsoft.com/office/word/2010/wordprocessingShape">
                          <wps:wsp>
                            <wps:cNvSpPr txBox="1"/>
                            <wps:spPr>
                              <a:xfrm>
                                <a:off x="0" y="0"/>
                                <a:ext cx="396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200660" cy="175260"/>
                      <wp:effectExtent l="0" t="0" r="0" b="0"/>
                      <wp:wrapNone/>
                      <wp:docPr id="427" name="Frame42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29"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w:t>
            </w:r>
          </w:p>
        </w:tc>
        <w:tc>
          <w:tcPr>
            <w:tcW w:w="326" w:type="dxa"/>
            <w:tcBorders/>
            <w:vAlign w:val="center"/>
          </w:tcPr>
          <w:p>
            <w:pPr>
              <w:pStyle w:val="TableContents"/>
              <w:bidi w:val="0"/>
              <w:spacing w:before="0" w:after="0"/>
              <w:ind w:left="0" w:right="0" w:hanging="0"/>
              <w:jc w:val="left"/>
              <w:rPr/>
            </w:pPr>
            <w:r>
              <w:rPr/>
              <w:t>​</w:t>
            </w:r>
          </w:p>
        </w:tc>
        <w:tc>
          <w:tcPr>
            <w:tcW w:w="1635"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Six-Months Ended</w:t>
            </w:r>
          </w:p>
        </w:tc>
        <w:tc>
          <w:tcPr>
            <w:tcW w:w="316" w:type="dxa"/>
            <w:tcBorders/>
            <w:vAlign w:val="center"/>
          </w:tcPr>
          <w:p>
            <w:pPr>
              <w:pStyle w:val="TableContents"/>
              <w:bidi w:val="0"/>
              <w:spacing w:before="0" w:after="0"/>
              <w:ind w:left="0" w:right="0" w:hanging="0"/>
              <w:jc w:val="left"/>
              <w:rPr/>
            </w:pPr>
            <w:r>
              <w:rPr/>
              <w:t>​</w:t>
            </w:r>
          </w:p>
        </w:tc>
      </w:tr>
      <w:tr>
        <w:trPr/>
        <w:tc>
          <w:tcPr>
            <w:tcW w:w="56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2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c>
          <w:tcPr>
            <w:tcW w:w="326" w:type="dxa"/>
            <w:tcBorders/>
            <w:vAlign w:val="center"/>
          </w:tcPr>
          <w:p>
            <w:pPr>
              <w:pStyle w:val="TableContents"/>
              <w:bidi w:val="0"/>
              <w:spacing w:before="0" w:after="0"/>
              <w:ind w:left="0" w:right="0" w:hanging="0"/>
              <w:jc w:val="left"/>
              <w:rPr/>
            </w:pPr>
            <w:r>
              <w:rPr/>
              <w:t>​</w:t>
            </w:r>
          </w:p>
        </w:tc>
        <w:tc>
          <w:tcPr>
            <w:tcW w:w="163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c>
          <w:tcPr>
            <w:tcW w:w="316" w:type="dxa"/>
            <w:tcBorders/>
            <w:vAlign w:val="center"/>
          </w:tcPr>
          <w:p>
            <w:pPr>
              <w:pStyle w:val="TableContents"/>
              <w:bidi w:val="0"/>
              <w:spacing w:before="0" w:after="0"/>
              <w:ind w:left="0" w:right="0" w:hanging="0"/>
              <w:jc w:val="left"/>
              <w:rPr/>
            </w:pPr>
            <w:r>
              <w:rPr/>
              <w:t>​</w:t>
            </w:r>
          </w:p>
        </w:tc>
      </w:tr>
      <w:tr>
        <w:trPr/>
        <w:tc>
          <w:tcPr>
            <w:tcW w:w="56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467" w:type="dxa"/>
            <w:tcBorders/>
            <w:vAlign w:val="center"/>
          </w:tcPr>
          <w:p>
            <w:pPr>
              <w:pStyle w:val="TableContents"/>
              <w:bidi w:val="0"/>
              <w:spacing w:before="0" w:after="0"/>
              <w:ind w:left="0" w:right="0" w:hanging="0"/>
              <w:jc w:val="left"/>
              <w:rPr/>
            </w:pPr>
            <w:r>
              <w:rPr/>
              <w:t>    </w:t>
            </w:r>
          </w:p>
        </w:tc>
        <w:tc>
          <w:tcPr>
            <w:tcW w:w="6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c>
          <w:tcPr>
            <w:tcW w:w="326" w:type="dxa"/>
            <w:tcBorders/>
            <w:vAlign w:val="center"/>
          </w:tcPr>
          <w:p>
            <w:pPr>
              <w:pStyle w:val="TableContents"/>
              <w:bidi w:val="0"/>
              <w:spacing w:before="0" w:after="0"/>
              <w:ind w:left="0" w:right="0" w:hanging="0"/>
              <w:jc w:val="left"/>
              <w:rPr/>
            </w:pPr>
            <w:r>
              <w:rPr/>
              <w:t>    </w:t>
            </w:r>
          </w:p>
        </w:tc>
        <w:tc>
          <w:tcPr>
            <w:tcW w:w="62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87" w:type="dxa"/>
            <w:tcBorders/>
            <w:vAlign w:val="center"/>
          </w:tcPr>
          <w:p>
            <w:pPr>
              <w:pStyle w:val="TableContents"/>
              <w:bidi w:val="0"/>
              <w:spacing w:before="0" w:after="0"/>
              <w:ind w:left="0" w:right="0" w:hanging="0"/>
              <w:jc w:val="left"/>
              <w:rPr/>
            </w:pPr>
            <w:r>
              <w:rPr/>
              <w:t>    </w:t>
            </w:r>
          </w:p>
        </w:tc>
        <w:tc>
          <w:tcPr>
            <w:tcW w:w="62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c>
          <w:tcPr>
            <w:tcW w:w="316" w:type="dxa"/>
            <w:tcBorders/>
            <w:vAlign w:val="center"/>
          </w:tcPr>
          <w:p>
            <w:pPr>
              <w:pStyle w:val="TableContents"/>
              <w:bidi w:val="0"/>
              <w:spacing w:before="0" w:after="0"/>
              <w:ind w:left="0" w:right="0" w:hanging="0"/>
              <w:jc w:val="left"/>
              <w:rPr/>
            </w:pPr>
            <w:r>
              <w:rPr/>
              <w:t>​</w:t>
            </w:r>
          </w:p>
        </w:tc>
      </w:tr>
      <w:tr>
        <w:trPr/>
        <w:tc>
          <w:tcPr>
            <w:tcW w:w="56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full service bottlers/distributors</w:t>
            </w:r>
          </w:p>
        </w:tc>
        <w:tc>
          <w:tcPr>
            <w:tcW w:w="326" w:type="dxa"/>
            <w:tcBorders/>
            <w:shd w:fill="CCEEFF" w:val="clear"/>
            <w:vAlign w:val="center"/>
          </w:tcPr>
          <w:p>
            <w:pPr>
              <w:pStyle w:val="TableContents"/>
              <w:bidi w:val="0"/>
              <w:spacing w:before="0" w:after="0"/>
              <w:ind w:left="0" w:right="0" w:hanging="0"/>
              <w:jc w:val="left"/>
              <w:rPr/>
            </w:pPr>
            <w:r>
              <w:rPr/>
              <w:t> </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4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6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International full service bottlers/distributors</w:t>
            </w:r>
          </w:p>
        </w:tc>
        <w:tc>
          <w:tcPr>
            <w:tcW w:w="326"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4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6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Club stores and e-commerce retailers</w:t>
            </w:r>
          </w:p>
        </w:tc>
        <w:tc>
          <w:tcPr>
            <w:tcW w:w="326" w:type="dxa"/>
            <w:tcBorders/>
            <w:shd w:fill="CCEEFF" w:val="clear"/>
            <w:vAlign w:val="center"/>
          </w:tcPr>
          <w:p>
            <w:pPr>
              <w:pStyle w:val="TableContents"/>
              <w:bidi w:val="0"/>
              <w:spacing w:before="0" w:after="0"/>
              <w:ind w:left="0" w:right="0" w:hanging="0"/>
              <w:jc w:val="left"/>
              <w:rPr/>
            </w:pPr>
            <w:r>
              <w:rPr/>
              <w:t> </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4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6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Retail grocery, direct convenience, specialty chains and wholesalers</w:t>
            </w:r>
          </w:p>
        </w:tc>
        <w:tc>
          <w:tcPr>
            <w:tcW w:w="326"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6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Alcohol, value stores and other</w:t>
            </w:r>
          </w:p>
        </w:tc>
        <w:tc>
          <w:tcPr>
            <w:tcW w:w="326" w:type="dxa"/>
            <w:tcBorders/>
            <w:shd w:fill="CCEEFF" w:val="clear"/>
            <w:vAlign w:val="center"/>
          </w:tcPr>
          <w:p>
            <w:pPr>
              <w:pStyle w:val="TableContents"/>
              <w:bidi w:val="0"/>
              <w:spacing w:before="0" w:after="0"/>
              <w:ind w:left="0" w:right="0" w:hanging="0"/>
              <w:jc w:val="left"/>
              <w:rPr/>
            </w:pPr>
            <w:r>
              <w:rPr/>
              <w:t> </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4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non-alcohol customers include Coca-Cola Canada Bottling Limited, Coca-Cola Consolidated, Inc., Coca-Cola Bottling Company United, Inc., Reyes Coca-Cola Bottling, LLC, Coca-Cola Southwest Beverages LLC, The Coca-Cola Bottling Company of Northern New England, Inc., Swire Pacific Holdings, Inc. (USA), Liberty Coca-Cola Beverages, LLC, Coca-Cola Europacific Partners (formerly Coca-Cola European Partners and Coca-Cola Amatil), Coca-Cola Hellenic, Coca-Cola FEMSA, Swire Coca-Cola (China), COFCO Coca-Cola, Coca-Cola Beverages Africa, Coca-Cola İçecek and certain other TCCC network bottlers, Asahi Soft Drinks, Co., Ltd., Wal-Mart, Inc. (including Sam’s Club), Costco Wholesale Corporation and Amazon.com, Inc.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alcohol customers include Reyes Beverage Group, Ben E. Keith Company, J.J. Taylor Distributing and Sheehan Family Companies.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decision by any large customer to decrease amounts purchased from us or to cease carrying our products could have a material adverse effect on our financial condition and consolidated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Coca-Cola Europacific Partners accounted for approximately 14% of our net sales for both the three-months ended June 30, 2023 and 2022. Coca-Cola Europacific Partners accounted for approximately 13% of our net sales for both the six-months ended June 30, 2023 and 2022.</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Coca-Cola Consolidated, Inc. accounted for approximately 10% and 11% of our net sales for the three-months ended June 30, 2023 and 2022, respectively. Coca-Cola Consolidated, Inc. accounted for approximately 10% of our net sales for both the six-months ended June 30, 2023 and 2022.</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Reyes Holdings, LLC accounted for approximately 10% and 9% of our net sales for the three-months ended June 30, 2023 and 2022, respectively. Reyes Holdings, LLC accounted for approximately 10% and 9% of our net sales for the six-months ended June 30, 2023 and 2022,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Results of Operations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sets forth key statistics for the three- and six-months ended June 30, 2023 and 2022.</w:t>
      </w:r>
    </w:p>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1278"/>
        <w:gridCol w:w="326"/>
        <w:gridCol w:w="211"/>
        <w:gridCol w:w="931"/>
        <w:gridCol w:w="361"/>
        <w:gridCol w:w="211"/>
        <w:gridCol w:w="931"/>
        <w:gridCol w:w="361"/>
        <w:gridCol w:w="991"/>
        <w:gridCol w:w="361"/>
        <w:gridCol w:w="211"/>
        <w:gridCol w:w="931"/>
        <w:gridCol w:w="326"/>
        <w:gridCol w:w="211"/>
        <w:gridCol w:w="931"/>
        <w:gridCol w:w="326"/>
        <w:gridCol w:w="991"/>
        <w:gridCol w:w="316"/>
      </w:tblGrid>
      <w:tr>
        <w:trPr/>
        <w:tc>
          <w:tcPr>
            <w:tcW w:w="127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207010" cy="175260"/>
                      <wp:effectExtent l="0" t="0" r="0" b="0"/>
                      <wp:wrapNone/>
                      <wp:docPr id="428" name="Frame4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133985" cy="175260"/>
                      <wp:effectExtent l="0" t="0" r="0" b="0"/>
                      <wp:wrapNone/>
                      <wp:docPr id="429" name="Frame4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591185" cy="175260"/>
                      <wp:effectExtent l="0" t="0" r="0" b="0"/>
                      <wp:wrapNone/>
                      <wp:docPr id="430" name="Frame43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29235" cy="175260"/>
                      <wp:effectExtent l="0" t="0" r="0" b="0"/>
                      <wp:wrapNone/>
                      <wp:docPr id="431" name="Frame43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133985" cy="175260"/>
                      <wp:effectExtent l="0" t="0" r="0" b="0"/>
                      <wp:wrapNone/>
                      <wp:docPr id="432" name="Frame4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591185" cy="175260"/>
                      <wp:effectExtent l="0" t="0" r="0" b="0"/>
                      <wp:wrapNone/>
                      <wp:docPr id="433" name="Frame43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29235" cy="175260"/>
                      <wp:effectExtent l="0" t="0" r="0" b="0"/>
                      <wp:wrapNone/>
                      <wp:docPr id="434" name="Frame43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629285" cy="175260"/>
                      <wp:effectExtent l="0" t="0" r="0" b="0"/>
                      <wp:wrapNone/>
                      <wp:docPr id="435" name="Frame435"/>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229235" cy="175260"/>
                      <wp:effectExtent l="0" t="0" r="0" b="0"/>
                      <wp:wrapNone/>
                      <wp:docPr id="436" name="Frame43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133985" cy="175260"/>
                      <wp:effectExtent l="0" t="0" r="0" b="0"/>
                      <wp:wrapNone/>
                      <wp:docPr id="437" name="Frame4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591185" cy="175260"/>
                      <wp:effectExtent l="0" t="0" r="0" b="0"/>
                      <wp:wrapNone/>
                      <wp:docPr id="438" name="Frame43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207010" cy="175260"/>
                      <wp:effectExtent l="0" t="0" r="0" b="0"/>
                      <wp:wrapNone/>
                      <wp:docPr id="439" name="Frame4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133985" cy="175260"/>
                      <wp:effectExtent l="0" t="0" r="0" b="0"/>
                      <wp:wrapNone/>
                      <wp:docPr id="440" name="Frame4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591185" cy="175260"/>
                      <wp:effectExtent l="0" t="0" r="0" b="0"/>
                      <wp:wrapNone/>
                      <wp:docPr id="441" name="Frame44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07010" cy="175260"/>
                      <wp:effectExtent l="0" t="0" r="0" b="0"/>
                      <wp:wrapNone/>
                      <wp:docPr id="442" name="Frame4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629285" cy="175260"/>
                      <wp:effectExtent l="0" t="0" r="0" b="0"/>
                      <wp:wrapNone/>
                      <wp:docPr id="443" name="Frame443"/>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200660" cy="175260"/>
                      <wp:effectExtent l="0" t="0" r="0" b="0"/>
                      <wp:wrapNone/>
                      <wp:docPr id="444" name="Frame44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7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645"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w:t>
            </w:r>
          </w:p>
        </w:tc>
        <w:tc>
          <w:tcPr>
            <w:tcW w:w="36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Percentage</w:t>
            </w:r>
          </w:p>
        </w:tc>
        <w:tc>
          <w:tcPr>
            <w:tcW w:w="361" w:type="dxa"/>
            <w:tcBorders/>
            <w:vAlign w:val="center"/>
          </w:tcPr>
          <w:p>
            <w:pPr>
              <w:pStyle w:val="TableContents"/>
              <w:bidi w:val="0"/>
              <w:spacing w:before="0" w:after="0"/>
              <w:ind w:left="0" w:right="0" w:hanging="0"/>
              <w:jc w:val="left"/>
              <w:rPr/>
            </w:pPr>
            <w:r>
              <w:rPr/>
              <w:t>​</w:t>
            </w:r>
          </w:p>
        </w:tc>
        <w:tc>
          <w:tcPr>
            <w:tcW w:w="2610"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Six-Months Ended</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Percentage</w:t>
            </w:r>
          </w:p>
        </w:tc>
        <w:tc>
          <w:tcPr>
            <w:tcW w:w="316" w:type="dxa"/>
            <w:tcBorders/>
            <w:vAlign w:val="center"/>
          </w:tcPr>
          <w:p>
            <w:pPr>
              <w:pStyle w:val="TableContents"/>
              <w:bidi w:val="0"/>
              <w:spacing w:before="0" w:after="0"/>
              <w:ind w:left="0" w:right="0" w:hanging="0"/>
              <w:jc w:val="left"/>
              <w:rPr/>
            </w:pPr>
            <w:r>
              <w:rPr/>
              <w:t>​</w:t>
            </w:r>
          </w:p>
        </w:tc>
      </w:tr>
      <w:tr>
        <w:trPr/>
        <w:tc>
          <w:tcPr>
            <w:tcW w:w="127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thousands, except per share amounts)</w:t>
            </w:r>
          </w:p>
        </w:tc>
        <w:tc>
          <w:tcPr>
            <w:tcW w:w="326" w:type="dxa"/>
            <w:tcBorders/>
            <w:vAlign w:val="center"/>
          </w:tcPr>
          <w:p>
            <w:pPr>
              <w:pStyle w:val="TableContents"/>
              <w:bidi w:val="0"/>
              <w:spacing w:before="0" w:after="0"/>
              <w:ind w:left="0" w:right="0" w:hanging="0"/>
              <w:jc w:val="left"/>
              <w:rPr/>
            </w:pPr>
            <w:r>
              <w:rPr/>
              <w:t>​</w:t>
            </w:r>
          </w:p>
        </w:tc>
        <w:tc>
          <w:tcPr>
            <w:tcW w:w="26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c>
          <w:tcPr>
            <w:tcW w:w="361" w:type="dxa"/>
            <w:tcBorders/>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Change</w:t>
            </w:r>
          </w:p>
        </w:tc>
        <w:tc>
          <w:tcPr>
            <w:tcW w:w="361" w:type="dxa"/>
            <w:tcBorders/>
            <w:vAlign w:val="center"/>
          </w:tcPr>
          <w:p>
            <w:pPr>
              <w:pStyle w:val="TableContents"/>
              <w:bidi w:val="0"/>
              <w:spacing w:before="0" w:after="0"/>
              <w:ind w:left="0" w:right="0" w:hanging="0"/>
              <w:jc w:val="left"/>
              <w:rPr/>
            </w:pPr>
            <w:r>
              <w:rPr/>
              <w:t>​</w:t>
            </w:r>
          </w:p>
        </w:tc>
        <w:tc>
          <w:tcPr>
            <w:tcW w:w="26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c>
          <w:tcPr>
            <w:tcW w:w="326" w:type="dxa"/>
            <w:tcBorders/>
            <w:vAlign w:val="center"/>
          </w:tcPr>
          <w:p>
            <w:pPr>
              <w:pStyle w:val="TableContents"/>
              <w:bidi w:val="0"/>
              <w:spacing w:before="0" w:after="0"/>
              <w:ind w:left="0" w:right="0" w:hanging="0"/>
              <w:jc w:val="center"/>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Change</w:t>
            </w:r>
          </w:p>
        </w:tc>
        <w:tc>
          <w:tcPr>
            <w:tcW w:w="316" w:type="dxa"/>
            <w:tcBorders/>
            <w:vAlign w:val="center"/>
          </w:tcPr>
          <w:p>
            <w:pPr>
              <w:pStyle w:val="TableContents"/>
              <w:bidi w:val="0"/>
              <w:spacing w:before="0" w:after="0"/>
              <w:ind w:left="0" w:right="0" w:hanging="0"/>
              <w:jc w:val="left"/>
              <w:rPr/>
            </w:pPr>
            <w:r>
              <w:rPr/>
              <w:t>​</w:t>
            </w:r>
          </w:p>
        </w:tc>
      </w:tr>
      <w:tr>
        <w:trPr/>
        <w:tc>
          <w:tcPr>
            <w:tcW w:w="127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61"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c>
          <w:tcPr>
            <w:tcW w:w="361"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 vs. 22</w:t>
            </w:r>
          </w:p>
        </w:tc>
        <w:tc>
          <w:tcPr>
            <w:tcW w:w="361"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c>
          <w:tcPr>
            <w:tcW w:w="326"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 vs. 22</w:t>
            </w:r>
          </w:p>
        </w:tc>
        <w:tc>
          <w:tcPr>
            <w:tcW w:w="316" w:type="dxa"/>
            <w:tcBorders/>
            <w:vAlign w:val="center"/>
          </w:tcPr>
          <w:p>
            <w:pPr>
              <w:pStyle w:val="TableContents"/>
              <w:bidi w:val="0"/>
              <w:spacing w:before="0" w:after="0"/>
              <w:ind w:left="0" w:right="0" w:hanging="0"/>
              <w:jc w:val="left"/>
              <w:rPr/>
            </w:pPr>
            <w:r>
              <w:rPr/>
              <w:t>​</w:t>
            </w:r>
          </w:p>
        </w:tc>
      </w:tr>
      <w:tr>
        <w:trPr/>
        <w:tc>
          <w:tcPr>
            <w:tcW w:w="1278"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Net sales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1,854,961</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1,655,260</w:t>
            </w:r>
          </w:p>
        </w:tc>
        <w:tc>
          <w:tcPr>
            <w:tcW w:w="36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3,553,891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3,173,833</w:t>
            </w:r>
          </w:p>
        </w:tc>
        <w:tc>
          <w:tcPr>
            <w:tcW w:w="326" w:type="dxa"/>
            <w:tcBorders/>
            <w:shd w:fill="CCEEFF" w:val="clear"/>
            <w:vAlign w:val="center"/>
          </w:tcPr>
          <w:p>
            <w:pPr>
              <w:pStyle w:val="TableContents"/>
              <w:bidi w:val="0"/>
              <w:spacing w:before="0" w:after="0"/>
              <w:ind w:left="0" w:right="0" w:hanging="0"/>
              <w:jc w:val="righ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7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880,739</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875,399</w:t>
            </w:r>
          </w:p>
        </w:tc>
        <w:tc>
          <w:tcPr>
            <w:tcW w:w="36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1,681,820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1,617,306</w:t>
            </w:r>
          </w:p>
        </w:tc>
        <w:tc>
          <w:tcPr>
            <w:tcW w:w="326" w:type="dxa"/>
            <w:tcBorders/>
            <w:vAlign w:val="center"/>
          </w:tcPr>
          <w:p>
            <w:pPr>
              <w:pStyle w:val="TableContents"/>
              <w:bidi w:val="0"/>
              <w:spacing w:before="0" w:after="0"/>
              <w:ind w:left="0" w:right="0" w:hanging="0"/>
              <w:jc w:val="righ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78"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Gross profit*</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974,222</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779,861</w:t>
            </w:r>
          </w:p>
        </w:tc>
        <w:tc>
          <w:tcPr>
            <w:tcW w:w="36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1,872,071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1,556,527</w:t>
            </w:r>
          </w:p>
        </w:tc>
        <w:tc>
          <w:tcPr>
            <w:tcW w:w="326" w:type="dxa"/>
            <w:tcBorders/>
            <w:shd w:fill="CCEEFF" w:val="clear"/>
            <w:vAlign w:val="center"/>
          </w:tcPr>
          <w:p>
            <w:pPr>
              <w:pStyle w:val="TableContents"/>
              <w:bidi w:val="0"/>
              <w:spacing w:before="0" w:after="0"/>
              <w:ind w:left="0" w:right="0" w:hanging="0"/>
              <w:jc w:val="righ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7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 as a percentage of net sales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9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127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27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450,417</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406,910</w:t>
            </w:r>
          </w:p>
        </w:tc>
        <w:tc>
          <w:tcPr>
            <w:tcW w:w="36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863,201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784,088</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7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 as a percentage of 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9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27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1278"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523,805</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372,951</w:t>
            </w:r>
          </w:p>
        </w:tc>
        <w:tc>
          <w:tcPr>
            <w:tcW w:w="36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1,008,870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772,439</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7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as a percentage of net sales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9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127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27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other income (expense),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15,159</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(6,781)</w:t>
            </w:r>
          </w:p>
        </w:tc>
        <w:tc>
          <w:tcPr>
            <w:tcW w:w="36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323.6</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27,653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(14,080)</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7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278"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Income before provision for income taxes</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538,964</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366,170</w:t>
            </w:r>
          </w:p>
        </w:tc>
        <w:tc>
          <w:tcPr>
            <w:tcW w:w="36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1,036,523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758,359</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7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27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125,093</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92,810</w:t>
            </w:r>
          </w:p>
        </w:tc>
        <w:tc>
          <w:tcPr>
            <w:tcW w:w="36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225,208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190,796</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7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27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 as a percentage of income before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9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127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27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413,871</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273,360</w:t>
            </w:r>
          </w:p>
        </w:tc>
        <w:tc>
          <w:tcPr>
            <w:tcW w:w="36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811,315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567,563</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7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as a percentage of 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9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27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127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per common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27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0.40</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0.26</w:t>
            </w:r>
          </w:p>
        </w:tc>
        <w:tc>
          <w:tcPr>
            <w:tcW w:w="36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0.54</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7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0.39</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0.26</w:t>
            </w:r>
          </w:p>
        </w:tc>
        <w:tc>
          <w:tcPr>
            <w:tcW w:w="36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0.53</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7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127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Energy drink case sales (in thousands) (in 192</w:t>
              <w:noBreakHyphen/>
              <w:t>ounce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198,406</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184,197</w:t>
            </w:r>
          </w:p>
        </w:tc>
        <w:tc>
          <w:tcPr>
            <w:tcW w:w="36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380,850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352,990</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¹</w:t>
      </w:r>
      <w:r>
        <w:rPr>
          <w:rFonts w:ascii="Times New Roman;Times;serif" w:hAnsi="Times New Roman;Times;serif"/>
          <w:sz w:val="20"/>
        </w:rPr>
        <w:t xml:space="preserve"> </w:t>
      </w:r>
      <w:r>
        <w:rPr>
          <w:rFonts w:ascii="Times New Roman;Times;serif" w:hAnsi="Times New Roman;Times;serif"/>
          <w:i/>
          <w:sz w:val="20"/>
        </w:rPr>
        <w:t>Includes $10.0 million and $10.1 million for the three-months ended June 30, 2023 and 2022, respectively, related to the recognition of deferred revenue. Includes $19.9 million and $20.1 million for the six-months ended June 30, 2023 and 2022, respectively, related to the recognition of deferred revenue.</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*Gross profit may not be comparable to that of other entities since some entities include all costs associated with their distribution process in cost of sales, whereas others exclude certain costs and instead include such costs within another line item such as operating expenses. We include out-bound freight and warehouse costs in operating expenses rather than in cost of sales.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Three-Months Ended June 30, 2023 Compared to the Three-Months Ended June 30, 2022.</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Net 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Net Sales.</w:t>
      </w:r>
      <w:r>
        <w:rPr>
          <w:rFonts w:ascii="Times New Roman;Times;serif" w:hAnsi="Times New Roman;Times;serif"/>
          <w:sz w:val="20"/>
        </w:rPr>
        <w:t xml:space="preserve"> Net sales were $1.85 billion for the three-months ended June 30, 2023, an increase of approximately $199.7 million, or 12.1% higher than net sales of $1.66 billion for the three-months ended June 30, 2022. Net sales increased primarily due to increased worldwide sales by volume of our Monster Energy® brand energy drinks as a result of increased consumer demand, as well as due to Pricing Actions in certain markets. Net changes in foreign currency exchange rates had an unfavorable impact on net sales of approximately $38.4 million for the three-months ended June 30, 2023. Net sales on a foreign currency adjusted basis increased 14.4% for the three-months ended June 30,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were $670.5 million and $604.8 million for the three-months ended June 30, 2023 and 2022, respectively, in EMEA, Asia Pacific, Latin America and the Caribbean.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Net sales for the Monster Energy® Drinks segment were $1.69 billion for the three-months ended June 30, 2023, an increase of approximately $149.2 million, or 9.7% higher than net sales of $1.54 billion for the three-months ended June 30, 2022. Net sales for the Monster Energy® Drinks segment increased primarily due to increased worldwide sales by volume of our Monster Energy® brand energy drinks as a result of increased consumer demand as well as due to Pricing Actions in certain markets. Net changes in foreign currency exchange rates had an unfavorable impact on net sales for the Monster Energy® Drinks segment of approximately $36.3 million for the three-months ended June 30, 2023. Net sales for the Monster Energy® Drinks segment on a foreign currency adjusted basis increased 12.1% for the three-months ended June 30, 2023.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for the Strategic Brands segment were $99.7 million for the three-months ended June 30, 2023, an increase of approximately $20.5 million, or 26.0% higher than net sales of $79.1 million for the three-months ended June 30, 2022. Net sales for the Strategic Brands segment increased primarily due to increased sales by volume of our NOS®, Burn® and Predator® brand energy drinks. Net changes in foreign currency exchange rates had an unfavorable impact on net sales of approximately $2.1 million for the Strategic Brands segment for the three-months ended June 30, 2023. Net sales for the Strategic Brands segment on a foreign currency adjusted basis increased 28.7% for the three-months ended June 30, 2023. Net sales of concentrates within the Strategic Brands segment tend to have more pronounced fluctuations from period to period as compared to net sales of our finished goods within the Monster Energy Drinks® segment.</w:t>
      </w:r>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Net sales for the Alcohol Brands segment were $61.1 million for the three-months ended June 30, 2023, an increase of approximately $28.6 million, or 88.2% higher than net sales of $32.4 million for the three-months ended June 30, 2022. Net sales of The Beast Unleashed</w:t>
      </w:r>
      <w:r>
        <w:rPr>
          <w:rFonts w:ascii="Times New Roman;Times;serif" w:hAnsi="Times New Roman;Times;serif"/>
          <w:sz w:val="15"/>
        </w:rPr>
        <w:t>TM</w:t>
      </w:r>
      <w:r>
        <w:rPr>
          <w:rFonts w:ascii="Times New Roman;Times;serif" w:hAnsi="Times New Roman;Times;serif"/>
          <w:sz w:val="20"/>
        </w:rPr>
        <w:t xml:space="preserve"> FMBs, which launched during the 2023 first quarter in the United States on a rolling state basis, were $33.5 million for the three-months ended June 30, 2023.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Net sales for the Other segment were $7.3 million for the three-months ended June 30, 2023, an increase of approximately $1.3 million, or 22.2% higher than net sales of $6.0 million for the three-months ended June 30, 2022.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Case sales for our energy drink products, in 192-ounce case equivalents, were 198.4 million cases for the three-months ended June 30, 2023, an increase of approximately 14.2 million cases or 7.7% higher than case sales of 184.2 million cases for the three-months ended June 30, 2022. The overall average net sales per case increased to $9.00 for the three-months ended June 30,2023, which was 2.6% higher than the average net sales per case of $8.78 for the three-months ended June 30, 2022.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Barrel sales for our craft beers, hard seltzers and FMBs, in 31 U.S. gallon equivalents, were 0.2 million barrels for the three-months ended June 30, 2023, an increase of approximately 0.1 million barrels or 105.7% higher than barrel sales of 0.1 million barrels for the three-months ended June 30, 2022.</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Gross Profit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Gross profit was $974.2 million for the three-months ended June 30, 2023, an increase of approximately $194.4 million, or 24.9% higher than the gross profit of $779.9 million for the three-months ended June 30, 2022. The increase in gross profit dollars was primarily the result of the $199.7 million increase in net sales for the three-months ended June 30,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Gross profit as a percentage of net sales increased to 52.5% for the three-months ended June 30, 2023 from 47.1% for the three-months ended June 30, 2022. The increase in gross profit as a percentage of net sales for the three-months ended June 30, 2023 was primarily the result of Pricing Actions in certain markets, decreased freight-in costs as well as decreased aluminum can costs. Gross profit as a percentage of net sales in EMEA increased to 34.0% for the three-months ended June 30, 2023 from 26.7% for the three-months ended June 30, 2022. Gross profit as a percentage of net sales in Asia Pacific increased to 42.4% for the three-months ended June 30, 2023 from 40.4% for the three-months ended June 30, 2022. Gross profit as a percentage of net sales in Latin America and the Caribbean decreased to 30.9% for the three-months ended June 30, 2023 from 36.4% for the three-months ended June 30, 2022. The decrease in the gross profit as a percentage of net sales in Latin America and the Caribbean was primarily due to raw material write-offs and excess storage costs, as a result of forecasting inefficiencies related to lower than anticipated category growth rates.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Operating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Total operating expenses were $450.4 million for the three-months ended June 30, 2023, an increase of approximately $43.5 million, or 10.7% higher than total operating expenses of $406.9 million for the three-months ended June 30, 2022.</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increase in operating expenses was primarily due to increased selling and marketing expenses of $22.2 million, increased warehouse costs of $4.8 million, as well as increased payroll expenses of $18.5 million (of which $1.7 million was related to the Alcohol Brands segment). The increase in operating expenses was partially offset by a decrease in out-bound fuel and freight expenses of $11.8 million for the three-months ended June 30, 2023. Operating expenses as a percentage of net sales for the three-months ended June 30, 2023 were 24.3% as compared to 24.6% for the three-months ended June 30, 2022.</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Operating Income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income was $523.8 million for the three-months ended June 30, 2023, an increase of approximately $150.9 million, or 40.4% higher than operating income of $373.0 million for the three-months ended June 30, 2022. Operating income as a percentage of net sales increased to 28.2% for the three-months ended June 30, 2023 from 22.5% for the three-months ended June 30,2022. The increase in operating income was primarily the result of an increase in net sales, as well as an increase in gross profit as a percentage of net 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Operating income was $114.2 million and $82.8 million for the three-months ended June 30, 2023 and 2022, respectively, for our operations in EMEA, Asia Pacific, Latin America and the Caribbean.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income for the Monster Energy® Drinks segment, exclusive of corporate and unallocated expenses, was $597.9 million for the three-months ended June 30, 2023, an increase of approximately $156.2 million, or 35.4% higher than operating income of $441.7 million for the three-months ended June 30, 2022. The increase in operating income for the Monster Energy® Drinks segment was primarily the result of an increase in net sales as well as an increase in gross profit as a percentage of net 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income for the Strategic Brands segment, exclusive of corporate and unallocated expenses, was $55.1 million for the three-months ended June 30, 2023, an increase of approximately $13.6 million, or 32.9% higher than operating income of $41.5 million for the three-months ended June 30, 2022. The increase in operating income for the Strategic Brands segment was primarily the result of an increase in net 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loss for the Alcohol Brands segment, exclusive of corporate and unallocated expenses, was $6.6 million for the three-months ended June 30, 2023, an increase of approximately $1.9 million, or 41.2% higher than operating loss of $4.7 million for the three-months ended June 30, 2022. The operating losses for the three-months ended June 30, 2023 were primarily due to expenses and infrastructure investments for the expansion of the Alcohol Brands segment.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Operating income for the Other segment, exclusive of corporate and unallocated expenses, was $1.7 million for the three-months ended June 30, 2023, as compared to operating income of $1.0 million for the three-months ended June 30, 2022.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Interest and Other Income (Expense), net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Interest and other non-operating income (expense), net, was $15.2 million for the three-months ended June 30, 2023, as compared to interest and other non-operating income (expense), net, of ($6.8) million for the three-months ended June 30, 2022. Foreign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currency transaction losses were $14.2 million and $8.3 million for the three-months ended June 30, 2023 and 2022, respectively. Interest income was $29.4 million and $3.8 million for the three-months ended June 30, 2023 and 2022,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Provision for Income Taxes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Provision for income taxes was $125.1 million for the three-months ended June 30, 2023, an increase of $32.3 million, or 34.8% higher than the provision for income taxes of $92.8 million for the three-months ended June 30, 2022. The effective combined federal, state and foreign tax rate decreased to 23.2% from 25.3% for the three-months ended June 30, 2023 and 2022, respectively. The decrease in the effective tax rate was primarily attributable to an increase in deductible interest expense, a decrease in the effective state income tax rate as well as an increase in net income in certain foreign jurisdictions which have lower tax rates compared to the United States.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Net Income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income was $413.9 million for the three-months ended June 30, 2023, an increase of $140.5 million, or 51.4% higher than net income of $273.4 million for the three-months ended June 30,2022. The increase in net income for the three-months ended June 30, 2023 was primarily due to the increase in net sales, the increase in the gross profit percentage of net sales as well as the decrease in the effective combined federal, state and foreign tax rate.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Six-Months Ended June 30, 2023 Compared to the Six-Months Ended June 30, 2022.</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Sales</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Net Sales</w:t>
      </w:r>
      <w:r>
        <w:rPr>
          <w:rFonts w:ascii="Times New Roman;Times;serif" w:hAnsi="Times New Roman;Times;serif"/>
          <w:sz w:val="20"/>
        </w:rPr>
        <w:t>. Net sales were $3.55 billion for the six-months ended June 30, 2023, an increase of approximately $380.1 million, or 12.0% higher than net sales of $3.17 billion for the six-months ended June 30,2022. Net sales increased primarily due to increased worldwide sales by volume of our Monster Energy® brand energy drinks as a result of increased consumer demand, as well as due to Pricing Actions in certain markets. Net changes in foreign currency exchange rates had an unfavorable impact on net sales of approximately $90.4 million for the six-months ended June 30, 2023. Net sales on a foreign currency adjusted basis increased 14.8% for the six-months ended June 30,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Net sales were $1.25 billion and $1.12 billion for the six-months ended June 30, 2023 and 2022, respectively, in EMEA, Asia Pacific, Latin America and the Caribbean.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Net sales for the Monster Energy® Drinks segment were $3.25 billion for the six-months ended June 30, 2023, an increase of approximately $306.0 million, or 10.4% higher than net sales of $2.94 billion for the six-months ended June 30,2022. Net sales for the Monster Energy® Drinks segment increased primarily due to increased worldwide sales by volume of our Monster Energy® brand energy drinks as a result of increased consumer demand as well as due to Pricing Actions in certain markets. Net changes in foreign currency exchange rates had an unfavorable impact on net sales for the Monster Energy® Drinks segment of approximately $85.3 million for the six-months ended June 30, 2023. Net sales for the Monster Energy® Drinks segment on a foreign currency adjusted basis increased 13.3% for the six-months ended June 30, 2023.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for the Strategic Brands segment were $186.0 million for the six-months ended June 30, 2023, an increase of approximately $14.3 million, or 8.3% higher than net sales of $171.7 million for the six-months ended June 30, 2022. Net sales for the Strategic Brands segment increased primarily due to increased sales by volume of our Predator® and Burn® brand energy drinks. Net changes in foreign currency exchange rates had an unfavorable impact on net sales of approximately $5.1 million for the Strategic Brands segment for the six-months ended June 30, 2023. Net sales for the Strategic Brands segment on a foreign currency adjusted basis increased 11.3% for the six-months ended June 30, 2023. Net sales of concentrates within the Strategic Brands segment tend to have more pronounced fluctuations from period to period as compared to net sales of our finished goods within the Monster Energy Drinks® segment.</w:t>
      </w:r>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Net sales for the Alcohol Brands segment were $107.4 million for the six-months ended June 30, 2023, an increase of approximately $59.7 million, or 125.3% higher than net sales of $47.7 million for the six-months ended June 30, 2022. The comparative 2022 net sales for the Alcohol Brands segment were effectively from February 17, 2022 to June 30, 2022, as we completed the CANarchy Transaction on February 17, 2022. Net sales of The Beast Unleashed</w:t>
      </w:r>
      <w:r>
        <w:rPr>
          <w:rFonts w:ascii="Times New Roman;Times;serif" w:hAnsi="Times New Roman;Times;serif"/>
          <w:sz w:val="15"/>
        </w:rPr>
        <w:t>TM</w:t>
      </w:r>
      <w:r>
        <w:rPr>
          <w:rFonts w:ascii="Times New Roman;Times;serif" w:hAnsi="Times New Roman;Times;serif"/>
          <w:sz w:val="20"/>
        </w:rPr>
        <w:t xml:space="preserve"> FMBs, which launched during the 2023 first quarter in the United States on a rolling state basis, were $54.0 million for the six-months ended June 30, 2023.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Net sales for the Other segment were $11.9 million for both the six-months ended June 30, 2023 and 2022.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Case sales for our energy drink products, in 192-ounce case equivalents, were 380.8 million cases for the six-months ended June 30, 2023, an increase of approximately 27.8 million cases or 7.9% higher than case sales of 353.0 million cases for the six-months ended June 30, 2022. The overall average net sales per case increased to $9.02 for the six-months ended June 30, 2023, which was 2.2% higher than the average net sales per case of $8.82 for the six-months ended June 30, 2022.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Barrel sales for our craft beers, hard seltzers and FMBs, in 31 U.S. gallon equivalents, were 0.4 million barrels for the six-months ended June 30, 2023, an increase of approximately 0.3 million barrels or 142.6% higher than barrel sales of 0.1 million barrels for the six-months ended June 30, 2022.</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Gross Profit</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Gross profit was $1.87 billion for the six-months ended June 30, 2023, an increase of approximately $315.5 million, or 20.3% higher than the gross profit of $1.56 billion for the six-months ended June 30, 2022. The increase in gross profit dollars was primarily the result of the $380.1 million increase in net sales for the six-months ended June 30, 2023.</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Gross profit as a percentage of net sales increased to 52.7% for the six-months ended June 30, 2023 from 49.0% for the six-months ended June 30, 2022. The increase in gross profit as a percentage of net sales for the six-months ended June 30, 2023 was primarily the result of Pricing Actions in certain markets, decreased freight-in costs as well as decreased aluminum can costs. Gross profit as a percentage of net sales in EMEA increased to 32.5 % for the six-months ended June 30, 2023 from 28.0% for the six-months ended June 30, 2022. Gross profit as a percentage of net sales in Asia Pacific increased to 43.3% for the sixmonths ended June 30, 2023 from 40.7% for the six-months ended June 30, 2022. Gross profit as a percentage of net sales in Latin America and the Caribbean decreased to 31.9% for the six-months ended June 30, 2023 from 35.9% for the six-months ended June 30, 2022. The decrease in the gross profit as a percentage of net sales in Latin America and the Caribbean was primarily due to a fire at a warehouse in Chile, as well as raw material write-offs and excess storage costs as a result of forecasting inefficiencies related to lower than anticipated category growth rates.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Operating Expenses </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Total operating expenses were $863.2 million for the six-months ended June 30, 2023, an increase of approximately $79.1 million, or 10.1% higher than total operating expenses of $784.1 million for the six-months ended June 30, 2022.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increase in operating expenses was primarily due to increased selling and marketing expenses of $40.9 million, increased warehouse costs of $14.7 million, as well as increased payroll expenses of $40.5 million (of which $8.0 million was related to the Alcohol Brands segment). The increase in operating expenses was partially offset by a decrease in out-bound fuel and freight expenses of $27.5 million for the six-months ended June 30, 2023. Operating expenses as a percentage of net sales for the six-months ended June 30, 2023 were 24.3% as compared to 24.7% for the six-months ended June 30, 2022.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Income</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Operating income was $1.01 billion for the six-months ended June 30,2023, an increase of approximately $236.4 million, or 30.6% higher than operating income of $772.4 million for the six-months ended June 30,2022. Operating income as a percentage of net sales increased to 28.4% for the six-months ended June 30,2023 from 24.3% for the six-months ended June 30,2022. The increase in operating income was primarily the result of an increase in net sales, as well as an increase in gross profit as a percentage of net sales.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Operating income was $207.9 million and $154.4 million for the six-months ended June 30,2023 and 2022, respectively, for our operations in EMEA, Asia Pacific, Latin America and the Caribbean.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Operating income for the Monster Energy® Drinks segment, exclusive of corporate and unallocated expenses, was $1.16 billion for the six-months ended June 30,2023, an increase of approximately $262.5 million, or 29.3% higher than operating income of $896.3 million for the six-months ended June 30,2022. The increase in operating income for the Monster Energy® Drinks segment was primarily the result of an increase in net sales as well as an increase in gross profit as a percentage of net sales.</w:t>
      </w:r>
    </w:p>
    <w:p>
      <w:pPr>
        <w:pStyle w:val="TextBody"/>
        <w:bidi w:val="0"/>
        <w:spacing w:before="0" w:after="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Operating income for the Strategic Brands segment, exclusive of corporate and unallocated expenses, was $106.9 million for the six-months ended June 30, 2023, an increase of approximately $8.2 million, or 8.3% higher than operating income of $98.7 million for the six-months ended June 30, 2022. The increase in operating income for the Strategic Brands segment was primarily the result of an increase in net sales.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Operating loss for the Alcohol Brands segment, exclusive of corporate and unallocated expenses, was $13.5 million for the six-months ended June 30, 2023, an increase of approximately $3.8 million, or 40.1% higher than operating loss of $9.6 million for the six-months ended June 30, 2022 (effectively from February 17, 2022 to June 30, 2022). The operating losses for the six-months ended June 30, 2023 were primarily due to expenses and infrastructure investments for the expansion of the Alcohol Brands segment.</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Operating income for the Other segment, exclusive of corporate and unallocated expenses, was $1.4 million for the six-months ended June 30, 2023, as compared to operating income of $2.2 million for the six-months ended June 30, 2022.</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Interest and Other Income (Expense), net</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Interest and other non-operating income (expense), net, was $27.7 million for the six-months ended June 30, 2023, as compared to interest and other non-operating income (expense), net, of ($14.1) million for the six-months ended June 30, 2022. Foreign currency transaction losses were $25.4 million and $16.7 million for the six-months ended June 30, 2023 and 2022, respectively. Interest income was $52.8 million and $5.3 million for the six-months ended June 30, 2023 and 2022, respectively.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Provision for Income Taxes</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Provision for income taxes was $225.2 million for the six-months ended June 30, 2023, an increase of $34.4 million, or 18.0% higher than the provision for income taxes of $190.8 million for the six-months ended June 30,2022. The effective combined federal, state and foreign tax rate decreased to 21.7% from 25.2% for the six-months ended June 30, 2023 and 2022, respectively. The decrease in the effective tax rate was primarily attributable to the increase in the stock compensation deduction in the six-months ended June 30, 2023.</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Net Income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income was $811.3 million for the six-months ended June 30, 2023, an increase of $243.8 million, or 42.9% higher than net income of $567.6 million for the six-months ended June 30, 2022. The increase in net income for the six-months ended June 30, 2023 was primarily due to the increase in net sales, the increase in the gross profit percentage of net sales as well as the decrease in the effective combined federal, state and foreign tax rate.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Key Business Metrics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use certain key metrics and financial measures not prepared in accordance with United States Generally Accepted Accounting Principles (“GAAP”) to evaluate and manage our business. For a further discussion of how we use key metrics and certain non-GAAP financial measures, see “Non-GAAP Financial Measures and Other Key Metrics.”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Non-GAAP Financial Measures and Other Key Metrics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Gross Billings**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Gross billings were $2.14 billion for the three-months ended June 30, 2023, an increase of approximately $237.0 million, or 12.4% higher than gross billings of $1.91 billion for the three-months ended June 30, 2022. Net changes in foreign currency exchange rates had an unfavorable impact on gross billings of approximately $42.1 million for the three-months ended June 30, 2023.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Gross billings for the Monster Energy® Drinks segment were $1.96 billion for the three-months ended June 30, 2023, an increase of approximately $184.6 million, or 10.4% higher than gross billings of $1.78 billion for the three-months ended June 30, 2022. Gross billings for the Monster Energy® Drinks segment increased primarily due to increased worldwide sales by volume of our Monster Energy® brand energy drinks as a result of increased consumer demand as well as due to Pricing Actions in certain markets. Net changes in foreign currency exchange rates had an unfavorable impact on gross billings for the Monster Energy® Drinks segment of approximately $40.1 million for the three-months ended June 30, 2023.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Gross billings for the Strategic Brands segment were $111.6 million for the three-months ended June 30, 2023, an increase of $21.7 million, or 24.2% higher than gross billings of $89.9 million for the three-months ended June 30, 2022. Gross Billings for the Strategic Brands segment increased primarily due to decreased sales by volume of our Burn®, NOS® and Predator® brand energy drinks. Net changes in foreign currency exchange rates had an unfavorable impact on gross billings in the Strategic Brands segment of approximately $2.1 million for the three-months ended June 30, 2023. </w:t>
      </w:r>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Gross billings for the Alcohol Brands segment were $62.2 million for the three-months ended June 30, 2023, an increase of approximately $29.3 million, or 88.9% higher than gross billings of $32.9 million for the three-months ended June 30, 2022. Gross Billings of The Beast Unleashed</w:t>
      </w:r>
      <w:r>
        <w:rPr>
          <w:rFonts w:ascii="Times New Roman;Times;serif" w:hAnsi="Times New Roman;Times;serif"/>
          <w:sz w:val="15"/>
        </w:rPr>
        <w:t>TM</w:t>
      </w:r>
      <w:r>
        <w:rPr>
          <w:rFonts w:ascii="Times New Roman;Times;serif" w:hAnsi="Times New Roman;Times;serif"/>
          <w:sz w:val="20"/>
        </w:rPr>
        <w:t xml:space="preserve"> FMBs, which launched during the 2023 first quarter in the United States on a rolling state basis, were $34.2 million for the three-months ended June 30,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Gross billings for the Other segment were $7.3 million for the three-months ended June 30, 2023, an increase of $1.4 million, or 22.7% higher than gross billings of $6.0 million for the three-months ended June 30, 2022.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Promotional allowances, commissions and other expenses, as described in the footnote below, were $297.1 million for the three-months ended June 30, 2023, an increase of $37.2 million, or 14.3% higher than promotional allowances, commissions and other expenses of $259.9 million for the three-months ended June 30, 2022. Promotional allowances, commissions and other expenses as a percentage of gross billings increased to 13.9% from 13.6% for the three-months ended June 30, 2023 and 2022,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Gross billings were $4.10 billion for the six-months ended June 30, 2023, an increase of approximately $448.1 million, or 12.3% higher than gross billings of $3.65 billion for the six-months ended June 30, 2022. Net changes in foreign currency exchange rates had an unfavorable impact on gross billings of approximately $103.0 million for the six-months ended June 30, 2023.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Gross billings for the Monster Energy® Drinks segment were $3.77 billion for the six-months ended June 30, 2023, an increase of approximately $371.0 million, or 10.9% higher than gross billings of $3.39 billion for the six-months ended June 30, 2022. Gross billings for the Monster Energy® Drinks segment increased primarily due to increased worldwide sales by volume of our Monster Energy® brand energy drinks as a result of increased consumer demand as well as due to Pricing Actions in certain markets. Net changes in foreign currency exchange rates had an unfavorable impact on gross billings for the Monster Energy® Drinks segment of approximately $98.0 million for the six-months ended June 30, 2023.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Gross billings for the Strategic Brands segment were $210.3 million for the six-months ended June 30, 2023, an increase of $16.2 million, or 8.3% higher than gross billings of $194.1 million for the six-months ended June 30, 2022. Gross Billings for the Strategic Brands segment decreased primarily due to decreased sales by volume of our Burn® and Predator® brand energy drinks. Net changes in foreign currency exchange rates had an unfavorable impact on gross billings in the Strategic Brands segment of approximately $5.0 million for the six-months ended June 30, 2023. </w:t>
      </w:r>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Gross billings for the Alcohol Brands segment were $109.2 million for the six-months ended June 30, 2023, an increase of approximately $60.9 million, or 125.9% higher than gross billings of $48.4 million for the six-months ended June 30, 2022. The comparative 2022 gross billings for the Alcohol Brands segment were effectively from February 17, 2022 to June 30, 2022 as we completed the CANarchy Transaction on February 17, 2022. Gross billings of The Beast Unleashed</w:t>
      </w:r>
      <w:r>
        <w:rPr>
          <w:rFonts w:ascii="Times New Roman;Times;serif" w:hAnsi="Times New Roman;Times;serif"/>
          <w:sz w:val="15"/>
        </w:rPr>
        <w:t>TM</w:t>
      </w:r>
      <w:r>
        <w:rPr>
          <w:rFonts w:ascii="Times New Roman;Times;serif" w:hAnsi="Times New Roman;Times;serif"/>
          <w:sz w:val="20"/>
        </w:rPr>
        <w:t xml:space="preserve"> FMBs, which launched during the 2023 first quarter on the United States on a rolling state basis, were $54.9 million for the six-months ended June 30,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Gross billings for the Other segment were $12.0 million for the six-months ended June 30, 2023, as compared to gross billings of $11.9 million for the six-months ended June 30, 2022.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Promotional allowances, commissions and other expenses, as described in the footnote below, were $563.2 million for the six-months ended June 30, 2023, an increase of $67.9 million, or 13.7% higher than promotional allowances, commissions and other expenses of $495.3 million for the six-months ended June 30, 2022. Promotional allowances, commissions and other expenses as a percentage of gross billings increased to 13.7% from 13.6% for the six-months ended June 30, 2023 and 2022,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**Gross Billings represent amounts invoiced to customers net of cash discounts, returns and excise taxes. Gross billings are used internally by management as an indicator of and to monitor operating performance, including sales performance of particular products, salesperson performance, product growth or declines and is useful to investors in evaluating overall Company performance. The use of gross billings allows evaluation of sales performance before the effect of any promotional items, which can mask certain performance issues. We therefore believe that the presentation of gross billings provides a useful measure of our operating performance. The use of gross billings is not a measure that is recognized under GAAP and should not be considered as an alternative to net sales, which is determined in accordance with GAAP, and should not be used alone as an indicator of operating performance in place of net sales. Additionally, gross billings may not be comparable to similarly titled measures used by other companies, as gross billings has been defined by our internal reporting practices. In addition, gross billings may not be realized in the form of cash receipts as promotional payments and allowances may be deducted from payments received from certain customers.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reconciles the non-GAAP financial measure of gross billings with the most directly comparable GAAP financial measure of net sales:</w:t>
      </w:r>
    </w:p>
    <w:tbl>
      <w:tblPr>
        <w:tblW w:w="10205" w:type="dxa"/>
        <w:jc w:val="left"/>
        <w:tblInd w:w="0" w:type="dxa"/>
        <w:tblLayout w:type="fixed"/>
        <w:tblCellMar>
          <w:top w:w="0" w:type="dxa"/>
          <w:left w:w="0" w:type="dxa"/>
          <w:bottom w:w="0" w:type="dxa"/>
          <w:right w:w="0" w:type="dxa"/>
        </w:tblCellMar>
      </w:tblPr>
      <w:tblGrid>
        <w:gridCol w:w="2158"/>
        <w:gridCol w:w="326"/>
        <w:gridCol w:w="196"/>
        <w:gridCol w:w="826"/>
        <w:gridCol w:w="326"/>
        <w:gridCol w:w="196"/>
        <w:gridCol w:w="826"/>
        <w:gridCol w:w="326"/>
        <w:gridCol w:w="856"/>
        <w:gridCol w:w="331"/>
        <w:gridCol w:w="196"/>
        <w:gridCol w:w="826"/>
        <w:gridCol w:w="326"/>
        <w:gridCol w:w="196"/>
        <w:gridCol w:w="826"/>
        <w:gridCol w:w="326"/>
        <w:gridCol w:w="856"/>
        <w:gridCol w:w="286"/>
      </w:tblGrid>
      <w:tr>
        <w:trPr/>
        <w:tc>
          <w:tcPr>
            <w:tcW w:w="215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207010" cy="175260"/>
                      <wp:effectExtent l="0" t="0" r="0" b="0"/>
                      <wp:wrapNone/>
                      <wp:docPr id="445" name="Frame4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124460" cy="175260"/>
                      <wp:effectExtent l="0" t="0" r="0" b="0"/>
                      <wp:wrapNone/>
                      <wp:docPr id="446" name="Frame44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524510" cy="175260"/>
                      <wp:effectExtent l="0" t="0" r="0" b="0"/>
                      <wp:wrapNone/>
                      <wp:docPr id="447" name="Frame44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207010" cy="175260"/>
                      <wp:effectExtent l="0" t="0" r="0" b="0"/>
                      <wp:wrapNone/>
                      <wp:docPr id="448" name="Frame4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124460" cy="175260"/>
                      <wp:effectExtent l="0" t="0" r="0" b="0"/>
                      <wp:wrapNone/>
                      <wp:docPr id="449" name="Frame44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524510" cy="175260"/>
                      <wp:effectExtent l="0" t="0" r="0" b="0"/>
                      <wp:wrapNone/>
                      <wp:docPr id="450" name="Frame45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207010" cy="175260"/>
                      <wp:effectExtent l="0" t="0" r="0" b="0"/>
                      <wp:wrapNone/>
                      <wp:docPr id="451" name="Frame4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543560" cy="175260"/>
                      <wp:effectExtent l="0" t="0" r="0" b="0"/>
                      <wp:wrapNone/>
                      <wp:docPr id="452" name="Frame452"/>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210185" cy="175260"/>
                      <wp:effectExtent l="0" t="0" r="0" b="0"/>
                      <wp:wrapNone/>
                      <wp:docPr id="453" name="Frame453"/>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124460" cy="175260"/>
                      <wp:effectExtent l="0" t="0" r="0" b="0"/>
                      <wp:wrapNone/>
                      <wp:docPr id="454" name="Frame45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524510" cy="175260"/>
                      <wp:effectExtent l="0" t="0" r="0" b="0"/>
                      <wp:wrapNone/>
                      <wp:docPr id="455" name="Frame45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207010" cy="175260"/>
                      <wp:effectExtent l="0" t="0" r="0" b="0"/>
                      <wp:wrapNone/>
                      <wp:docPr id="456" name="Frame4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124460" cy="175260"/>
                      <wp:effectExtent l="0" t="0" r="0" b="0"/>
                      <wp:wrapNone/>
                      <wp:docPr id="457" name="Frame45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524510" cy="175260"/>
                      <wp:effectExtent l="0" t="0" r="0" b="0"/>
                      <wp:wrapNone/>
                      <wp:docPr id="458" name="Frame45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207010" cy="175260"/>
                      <wp:effectExtent l="0" t="0" r="0" b="0"/>
                      <wp:wrapNone/>
                      <wp:docPr id="459" name="Frame4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543560" cy="175260"/>
                      <wp:effectExtent l="0" t="0" r="0" b="0"/>
                      <wp:wrapNone/>
                      <wp:docPr id="460" name="Frame460"/>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181610" cy="175260"/>
                      <wp:effectExtent l="0" t="0" r="0" b="0"/>
                      <wp:wrapNone/>
                      <wp:docPr id="461" name="Frame461"/>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5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370" w:type="dxa"/>
            <w:gridSpan w:val="5"/>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Three-Months Ended</w:t>
            </w:r>
          </w:p>
        </w:tc>
        <w:tc>
          <w:tcPr>
            <w:tcW w:w="32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Percentage</w:t>
            </w:r>
          </w:p>
        </w:tc>
        <w:tc>
          <w:tcPr>
            <w:tcW w:w="331"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2174" w:type="dxa"/>
            <w:gridSpan w:val="4"/>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Six-Months Ended</w:t>
            </w:r>
          </w:p>
        </w:tc>
        <w:tc>
          <w:tcPr>
            <w:tcW w:w="32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Percentage</w:t>
            </w:r>
          </w:p>
        </w:tc>
        <w:tc>
          <w:tcPr>
            <w:tcW w:w="286" w:type="dxa"/>
            <w:tcBorders/>
            <w:vAlign w:val="center"/>
          </w:tcPr>
          <w:p>
            <w:pPr>
              <w:pStyle w:val="TableContents"/>
              <w:bidi w:val="0"/>
              <w:spacing w:before="0" w:after="0"/>
              <w:ind w:left="0" w:right="0" w:hanging="0"/>
              <w:jc w:val="left"/>
              <w:rPr/>
            </w:pPr>
            <w:r>
              <w:rPr/>
              <w:t>​</w:t>
            </w:r>
          </w:p>
        </w:tc>
      </w:tr>
      <w:tr>
        <w:trPr/>
        <w:tc>
          <w:tcPr>
            <w:tcW w:w="2158"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thousands)</w:t>
            </w:r>
          </w:p>
        </w:tc>
        <w:tc>
          <w:tcPr>
            <w:tcW w:w="326" w:type="dxa"/>
            <w:tcBorders/>
            <w:vAlign w:val="center"/>
          </w:tcPr>
          <w:p>
            <w:pPr>
              <w:pStyle w:val="TableContents"/>
              <w:bidi w:val="0"/>
              <w:spacing w:before="0" w:after="0"/>
              <w:ind w:left="0" w:right="0" w:hanging="0"/>
              <w:jc w:val="left"/>
              <w:rPr/>
            </w:pPr>
            <w:r>
              <w:rPr/>
              <w:t>​</w:t>
            </w:r>
          </w:p>
        </w:tc>
        <w:tc>
          <w:tcPr>
            <w:tcW w:w="237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June 30, </w:t>
            </w:r>
          </w:p>
        </w:tc>
        <w:tc>
          <w:tcPr>
            <w:tcW w:w="326" w:type="dxa"/>
            <w:tcBorders/>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Change</w:t>
            </w:r>
          </w:p>
        </w:tc>
        <w:tc>
          <w:tcPr>
            <w:tcW w:w="331" w:type="dxa"/>
            <w:tcBorders/>
            <w:vAlign w:val="center"/>
          </w:tcPr>
          <w:p>
            <w:pPr>
              <w:pStyle w:val="TableContents"/>
              <w:bidi w:val="0"/>
              <w:spacing w:before="0" w:after="0"/>
              <w:ind w:left="0" w:right="0" w:hanging="0"/>
              <w:jc w:val="left"/>
              <w:rPr/>
            </w:pPr>
            <w:r>
              <w:rPr/>
              <w:t>​</w:t>
            </w:r>
          </w:p>
        </w:tc>
        <w:tc>
          <w:tcPr>
            <w:tcW w:w="237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June 30, </w:t>
            </w:r>
          </w:p>
        </w:tc>
        <w:tc>
          <w:tcPr>
            <w:tcW w:w="326" w:type="dxa"/>
            <w:tcBorders/>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Change</w:t>
            </w:r>
          </w:p>
        </w:tc>
        <w:tc>
          <w:tcPr>
            <w:tcW w:w="286" w:type="dxa"/>
            <w:tcBorders/>
            <w:vAlign w:val="center"/>
          </w:tcPr>
          <w:p>
            <w:pPr>
              <w:pStyle w:val="TableContents"/>
              <w:bidi w:val="0"/>
              <w:spacing w:before="0" w:after="0"/>
              <w:ind w:left="0" w:right="0" w:hanging="0"/>
              <w:jc w:val="left"/>
              <w:rPr/>
            </w:pPr>
            <w:r>
              <w:rPr/>
              <w:t>​</w:t>
            </w:r>
          </w:p>
        </w:tc>
      </w:tr>
      <w:tr>
        <w:trPr/>
        <w:tc>
          <w:tcPr>
            <w:tcW w:w="215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2023</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2022</w:t>
            </w:r>
          </w:p>
        </w:tc>
        <w:tc>
          <w:tcPr>
            <w:tcW w:w="326" w:type="dxa"/>
            <w:tcBorders/>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23 vs. 22</w:t>
            </w:r>
          </w:p>
        </w:tc>
        <w:tc>
          <w:tcPr>
            <w:tcW w:w="331" w:type="dxa"/>
            <w:tcBorders/>
            <w:vAlign w:val="center"/>
          </w:tcPr>
          <w:p>
            <w:pPr>
              <w:pStyle w:val="TableContents"/>
              <w:bidi w:val="0"/>
              <w:spacing w:before="0" w:after="0"/>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2023</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2022</w:t>
            </w:r>
          </w:p>
        </w:tc>
        <w:tc>
          <w:tcPr>
            <w:tcW w:w="326" w:type="dxa"/>
            <w:tcBorders/>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23 vs. 22</w:t>
            </w:r>
          </w:p>
        </w:tc>
        <w:tc>
          <w:tcPr>
            <w:tcW w:w="286" w:type="dxa"/>
            <w:tcBorders/>
            <w:vAlign w:val="center"/>
          </w:tcPr>
          <w:p>
            <w:pPr>
              <w:pStyle w:val="TableContents"/>
              <w:bidi w:val="0"/>
              <w:spacing w:before="0" w:after="0"/>
              <w:ind w:left="0" w:right="0" w:hanging="0"/>
              <w:jc w:val="left"/>
              <w:rPr/>
            </w:pPr>
            <w:r>
              <w:rPr/>
              <w:t>​</w:t>
            </w:r>
          </w:p>
        </w:tc>
      </w:tr>
      <w:tr>
        <w:trPr/>
        <w:tc>
          <w:tcPr>
            <w:tcW w:w="215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Gross Billings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2,142,095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1,905,150</w:t>
            </w:r>
          </w:p>
        </w:tc>
        <w:tc>
          <w:tcPr>
            <w:tcW w:w="32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4,097,133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3,649,077</w:t>
            </w:r>
          </w:p>
        </w:tc>
        <w:tc>
          <w:tcPr>
            <w:tcW w:w="32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158"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Revenue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9,985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10,051</w:t>
            </w:r>
          </w:p>
        </w:tc>
        <w:tc>
          <w:tcPr>
            <w:tcW w:w="32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(0.7)</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19,931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20,071</w:t>
            </w:r>
          </w:p>
        </w:tc>
        <w:tc>
          <w:tcPr>
            <w:tcW w:w="32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(0.7)</w:t>
            </w:r>
          </w:p>
        </w:tc>
        <w:tc>
          <w:tcPr>
            <w:tcW w:w="2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15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Less: Promotional allowances, commissions and other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297,119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259,941</w:t>
            </w:r>
          </w:p>
        </w:tc>
        <w:tc>
          <w:tcPr>
            <w:tcW w:w="32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563,173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495,315</w:t>
            </w:r>
          </w:p>
        </w:tc>
        <w:tc>
          <w:tcPr>
            <w:tcW w:w="32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158"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Sales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1,854,961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1,655,260</w:t>
            </w:r>
          </w:p>
        </w:tc>
        <w:tc>
          <w:tcPr>
            <w:tcW w:w="32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3,553,891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3,173,833</w:t>
            </w:r>
          </w:p>
        </w:tc>
        <w:tc>
          <w:tcPr>
            <w:tcW w:w="32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w:t>
            </w:r>
          </w:p>
        </w:tc>
        <w:tc>
          <w:tcPr>
            <w:tcW w:w="2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18"/>
        </w:rPr>
      </w:pPr>
      <w:r>
        <w:rPr>
          <w:rFonts w:ascii="Times New Roman;Times;serif" w:hAnsi="Times New Roman;Times;serif"/>
          <w:i/>
          <w:sz w:val="18"/>
        </w:rPr>
        <w:t>***</w:t>
      </w:r>
      <w:r>
        <w:rPr>
          <w:rFonts w:ascii="Times New Roman;Times;serif" w:hAnsi="Times New Roman;Times;serif"/>
          <w:sz w:val="18"/>
        </w:rPr>
        <w:t xml:space="preserve"> </w:t>
      </w:r>
      <w:r>
        <w:rPr>
          <w:rFonts w:ascii="Times New Roman;Times;serif" w:hAnsi="Times New Roman;Times;serif"/>
          <w:i/>
          <w:sz w:val="18"/>
        </w:rPr>
        <w:t>Although the expenditures described in this line item are determined in accordance with GAAP and meet GAAP requirements, the presentation thereof does not conform to GAAP presentation requirements. Additionally, our definition of promotional and other allowances may not be comparable to similar items presented by other companies. Promotional and other allowances for our energy drink products primarily include consideration given to our non-alcohol bottlers/distributors or retail customers including, but not limited to the following: (i) discounts granted off list prices to support price promotions to end-consumers by retailers; (ii) reimbursements given to our bottlers/distributors for agreed portions of their promotional spend with retailers, including slotting, shelf space allowances and other fees for both new and existing products; (iii) our agreed share of fees given to bottlers/distributors and/or directly to retailers for advertising, in-store marketing and promotional activities; (iv) our agreed share of slotting, shelf space allowances and other fees given directly to retailers, club stores and/or wholesalers; (v) incentives given to our bottlers/distributors and/or retailers for achieving or exceeding certain predetermined sales goals; (vi) discounted or free products; (vii) contractual fees given to our bottlers/distributors related to sales made by us direct to certain customers that fall within the bottlers’/distributors’ sales territories; and (viii) certain commissions paid based on sales to our bottlers/distributors. The presentation of promotional and other allowances facilitates an evaluation of their impact on the determination of net sales and the spending levels incurred or correlated with such sales. Promotional and other allowances for our energy drink products constitute a material portion of our marketing activities. Our promotional allowance programs for our energy drink products with our numerous bottlers/distributors and/or retailers are executed through separate agreements in the ordinary course of business. These agreements generally provide for one or more of the arrangements described above and are of varying durations, ranging from one week to one year. Promotional and other allowances for our Alcohol Brands segment primarily include price promotions where permitted.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table below discloses selected quarterly data regarding sales for the three- and six-months ended June 30, 2023 and 2022, respectively. Data from any one or more quarters or periods is not necessarily indicative of annual results or continuing trends.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Sales of our energy drinks are expressed in unit case volume. A “unit case” means a unit of measurement equal to 192 U.S. fluid ounces of finished beverage (24 eight-ounce servings). Unit case volume means the number of unit cases (or unit case equivalents) of finished products or concentrates as if converted into finished products sold by us.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quarterly results of operations reflect seasonal trends that are primarily the result of increased demand in the warmer months of the year. Beverage sales tend to be lower during the first and fourth quarters of each calendar year. However, our experience with our energy drink products suggests they are less seasonal than the seasonality expected from traditional beverages. In addition, our continued growth internationally may further reduce the impact of seasonality on our business. Quarterly fluctuations may also be affected by other factors including the introduction of new products, the opening of new markets where temperature fluctuations are more pronounced, the addition of new bottlers/distributors, changes in the sales mix of our products and changes in marketing and promotional expenses.</w:t>
      </w:r>
    </w:p>
    <w:p>
      <w:pPr>
        <w:pStyle w:val="TextBody"/>
        <w:bidi w:val="0"/>
        <w:spacing w:before="0" w:after="0"/>
        <w:ind w:left="0" w:right="0" w:hanging="0"/>
        <w:jc w:val="left"/>
        <w:rPr/>
      </w:pPr>
      <w:r>
        <w:rPr/>
        <w:t>​</w:t>
      </w:r>
    </w:p>
    <w:tbl>
      <w:tblPr>
        <w:tblW w:w="9923" w:type="dxa"/>
        <w:jc w:val="left"/>
        <w:tblInd w:w="0" w:type="dxa"/>
        <w:tblLayout w:type="fixed"/>
        <w:tblCellMar>
          <w:top w:w="0" w:type="dxa"/>
          <w:left w:w="0" w:type="dxa"/>
          <w:bottom w:w="0" w:type="dxa"/>
          <w:right w:w="0" w:type="dxa"/>
        </w:tblCellMar>
      </w:tblPr>
      <w:tblGrid>
        <w:gridCol w:w="4006"/>
        <w:gridCol w:w="326"/>
        <w:gridCol w:w="211"/>
        <w:gridCol w:w="931"/>
        <w:gridCol w:w="326"/>
        <w:gridCol w:w="211"/>
        <w:gridCol w:w="931"/>
        <w:gridCol w:w="326"/>
        <w:gridCol w:w="211"/>
        <w:gridCol w:w="931"/>
        <w:gridCol w:w="326"/>
        <w:gridCol w:w="211"/>
        <w:gridCol w:w="976"/>
      </w:tblGrid>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207010" cy="175260"/>
                      <wp:effectExtent l="0" t="0" r="0" b="0"/>
                      <wp:wrapNone/>
                      <wp:docPr id="462" name="Frame4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133985" cy="175260"/>
                      <wp:effectExtent l="0" t="0" r="0" b="0"/>
                      <wp:wrapNone/>
                      <wp:docPr id="463" name="Frame4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591185" cy="175260"/>
                      <wp:effectExtent l="0" t="0" r="0" b="0"/>
                      <wp:wrapNone/>
                      <wp:docPr id="464" name="Frame46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207010" cy="175260"/>
                      <wp:effectExtent l="0" t="0" r="0" b="0"/>
                      <wp:wrapNone/>
                      <wp:docPr id="465" name="Frame4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133985" cy="175260"/>
                      <wp:effectExtent l="0" t="0" r="0" b="0"/>
                      <wp:wrapNone/>
                      <wp:docPr id="466" name="Frame4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591185" cy="175260"/>
                      <wp:effectExtent l="0" t="0" r="0" b="0"/>
                      <wp:wrapNone/>
                      <wp:docPr id="467" name="Frame46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207010" cy="175260"/>
                      <wp:effectExtent l="0" t="0" r="0" b="0"/>
                      <wp:wrapNone/>
                      <wp:docPr id="468" name="Frame4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133985" cy="175260"/>
                      <wp:effectExtent l="0" t="0" r="0" b="0"/>
                      <wp:wrapNone/>
                      <wp:docPr id="469" name="Frame4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591185" cy="175260"/>
                      <wp:effectExtent l="0" t="0" r="0" b="0"/>
                      <wp:wrapNone/>
                      <wp:docPr id="470" name="Frame47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207010" cy="175260"/>
                      <wp:effectExtent l="0" t="0" r="0" b="0"/>
                      <wp:wrapNone/>
                      <wp:docPr id="471" name="Frame4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133985" cy="175260"/>
                      <wp:effectExtent l="0" t="0" r="0" b="0"/>
                      <wp:wrapNone/>
                      <wp:docPr id="472" name="Frame4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619760" cy="175260"/>
                      <wp:effectExtent l="0" t="0" r="0" b="0"/>
                      <wp:wrapNone/>
                      <wp:docPr id="473" name="Frame473"/>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Energy Drinks:</w:t>
            </w:r>
          </w:p>
        </w:tc>
        <w:tc>
          <w:tcPr>
            <w:tcW w:w="326" w:type="dxa"/>
            <w:tcBorders/>
            <w:vAlign w:val="center"/>
          </w:tcPr>
          <w:p>
            <w:pPr>
              <w:pStyle w:val="TableContents"/>
              <w:bidi w:val="0"/>
              <w:spacing w:before="0" w:after="0"/>
              <w:ind w:left="0" w:right="0" w:hanging="0"/>
              <w:jc w:val="left"/>
              <w:rPr/>
            </w:pPr>
            <w:r>
              <w:rPr/>
              <w:t>​</w:t>
            </w:r>
          </w:p>
        </w:tc>
        <w:tc>
          <w:tcPr>
            <w:tcW w:w="2610"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w:t>
            </w:r>
          </w:p>
        </w:tc>
        <w:tc>
          <w:tcPr>
            <w:tcW w:w="326" w:type="dxa"/>
            <w:tcBorders/>
            <w:vAlign w:val="center"/>
          </w:tcPr>
          <w:p>
            <w:pPr>
              <w:pStyle w:val="TableContents"/>
              <w:bidi w:val="0"/>
              <w:spacing w:before="0" w:after="0"/>
              <w:ind w:left="0" w:right="0" w:hanging="0"/>
              <w:jc w:val="left"/>
              <w:rPr/>
            </w:pPr>
            <w:r>
              <w:rPr/>
              <w:t>​</w:t>
            </w:r>
          </w:p>
        </w:tc>
        <w:tc>
          <w:tcPr>
            <w:tcW w:w="2655"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Six-Months Ended</w:t>
            </w:r>
          </w:p>
        </w:tc>
      </w:tr>
      <w:tr>
        <w:trPr/>
        <w:tc>
          <w:tcPr>
            <w:tcW w:w="4006" w:type="dxa"/>
            <w:tcBorders>
              <w:top w:val="single" w:sz="2" w:space="0" w:color="000000"/>
              <w:bottom w:val="single" w:sz="2" w:space="0" w:color="000000"/>
            </w:tcBorders>
            <w:tcMar>
              <w:top w:w="28" w:type="dxa"/>
              <w:bottom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thousands, except average net sales per case)</w:t>
            </w:r>
          </w:p>
        </w:tc>
        <w:tc>
          <w:tcPr>
            <w:tcW w:w="326" w:type="dxa"/>
            <w:tcBorders/>
            <w:vAlign w:val="center"/>
          </w:tcPr>
          <w:p>
            <w:pPr>
              <w:pStyle w:val="TableContents"/>
              <w:bidi w:val="0"/>
              <w:spacing w:before="0" w:after="0"/>
              <w:ind w:left="0" w:right="0" w:hanging="0"/>
              <w:jc w:val="left"/>
              <w:rPr/>
            </w:pPr>
            <w:r>
              <w:rPr/>
              <w:t>​</w:t>
            </w:r>
          </w:p>
        </w:tc>
        <w:tc>
          <w:tcPr>
            <w:tcW w:w="26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c>
          <w:tcPr>
            <w:tcW w:w="326" w:type="dxa"/>
            <w:tcBorders/>
            <w:vAlign w:val="center"/>
          </w:tcPr>
          <w:p>
            <w:pPr>
              <w:pStyle w:val="TableContents"/>
              <w:bidi w:val="0"/>
              <w:spacing w:before="0" w:after="0"/>
              <w:ind w:left="0" w:right="0" w:hanging="0"/>
              <w:jc w:val="left"/>
              <w:rPr/>
            </w:pPr>
            <w:r>
              <w:rPr/>
              <w:t>​</w:t>
            </w:r>
          </w:p>
        </w:tc>
        <w:tc>
          <w:tcPr>
            <w:tcW w:w="26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40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1,854,961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1,655,260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3,553,891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3,173,833</w:t>
            </w:r>
          </w:p>
        </w:tc>
      </w:tr>
      <w:tr>
        <w:trPr/>
        <w:tc>
          <w:tcPr>
            <w:tcW w:w="40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Alcohol Brands segment sales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(61,076)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(32,447)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(107,366)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(47,654)</w:t>
            </w:r>
          </w:p>
        </w:tc>
      </w:tr>
      <w:tr>
        <w:trPr/>
        <w:tc>
          <w:tcPr>
            <w:tcW w:w="40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Other segment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(11,908)</w:t>
            </w:r>
          </w:p>
        </w:tc>
      </w:tr>
      <w:tr>
        <w:trPr/>
        <w:tc>
          <w:tcPr>
            <w:tcW w:w="4006"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Adjusted net sales</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1,786,577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1,616,832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3,434,603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3,114,271</w:t>
            </w:r>
          </w:p>
        </w:tc>
      </w:tr>
      <w:tr>
        <w:trPr/>
        <w:tc>
          <w:tcPr>
            <w:tcW w:w="400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r>
      <w:tr>
        <w:trPr/>
        <w:tc>
          <w:tcPr>
            <w:tcW w:w="4006"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Case sales by segment:</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  </w:t>
            </w:r>
          </w:p>
        </w:tc>
      </w:tr>
      <w:tr>
        <w:trPr/>
        <w:tc>
          <w:tcPr>
            <w:tcW w:w="40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Drinks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163,390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156,146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314,460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296,272</w:t>
            </w:r>
          </w:p>
        </w:tc>
      </w:tr>
      <w:tr>
        <w:trPr/>
        <w:tc>
          <w:tcPr>
            <w:tcW w:w="40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Brands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35,016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28,051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66,389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56,718</w:t>
            </w:r>
          </w:p>
        </w:tc>
      </w:tr>
      <w:tr>
        <w:trPr/>
        <w:tc>
          <w:tcPr>
            <w:tcW w:w="40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case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198,406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184,197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380,849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352,990</w:t>
            </w:r>
          </w:p>
        </w:tc>
      </w:tr>
      <w:tr>
        <w:trPr/>
        <w:tc>
          <w:tcPr>
            <w:tcW w:w="40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Average net sales per case - Energy Drinks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8.82</w:t>
            </w:r>
          </w:p>
        </w:tc>
      </w:tr>
    </w:tbl>
    <w:p>
      <w:pPr>
        <w:pStyle w:val="TextBody"/>
        <w:bidi w:val="0"/>
        <w:spacing w:before="0" w:after="0"/>
        <w:ind w:left="0" w:right="0" w:hanging="0"/>
        <w:jc w:val="left"/>
        <w:rPr/>
      </w:pPr>
      <w:r>
        <w:rPr/>
        <w:t>​</w:t>
      </w:r>
    </w:p>
    <w:p>
      <w:pPr>
        <w:pStyle w:val="TextBody"/>
        <w:bidi w:val="0"/>
        <w:spacing w:lineRule="auto" w:line="240" w:before="0" w:after="240"/>
        <w:ind w:left="0" w:right="0" w:hanging="0"/>
        <w:jc w:val="both"/>
        <w:rPr>
          <w:rFonts w:ascii="Times New Roman;Times;serif" w:hAnsi="Times New Roman;Times;serif"/>
          <w:sz w:val="18"/>
        </w:rPr>
      </w:pPr>
      <w:r>
        <w:rPr>
          <w:rFonts w:ascii="Times New Roman;Times;serif" w:hAnsi="Times New Roman;Times;serif"/>
          <w:i/>
          <w:sz w:val="14"/>
        </w:rPr>
        <w:t>1</w:t>
      </w:r>
      <w:r>
        <w:rPr>
          <w:rFonts w:ascii="Times New Roman;Times;serif" w:hAnsi="Times New Roman;Times;serif"/>
          <w:i/>
          <w:sz w:val="18"/>
        </w:rPr>
        <w:t>Excludes Alcohol Brands segment and Other segment net 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changes in foreign currency exchange rates had an unfavorable impact on the overall average net sales per case for the three- and six-months ended June 30,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Sales of our alcohol products are expressed in barrel volume. A “Barrel” means a unit of measurement equal to 31 U.S. gallons. Barrel sales were 0.2 million and 0.1 million for the three-months ended June 30, 2023 and 2022, respectively. Barrel sales were 0.4 million and 0.15 million for the six-months ended June 30, 2023 and 2022,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Item 2, “Management’s Discussion and Analysis of Financial Condition and Results of Operations – Results of Operations” for additional information related to the increase in sales.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Cash and cash equivalents, short-term and long-term investments. </w:t>
      </w:r>
      <w:r>
        <w:rPr>
          <w:rFonts w:ascii="Times New Roman;Times;serif" w:hAnsi="Times New Roman;Times;serif"/>
          <w:sz w:val="20"/>
        </w:rPr>
        <w:t>At June 30, 2023, we had $1.87 billion in cash and cash equivalents, $1.42 billion in short-term investments and $62.2 million in long-term investments, including certificates of deposit, commercial paper, U.S. government agency securities, municipal securities, U.S. treasuries and corporate bonds. We maintain our investments for cash management purposes and not for purposes of speculation. Our risk management policies emphasize credit quality (primarily based on short-term ratings by nationally recognized statistical organizations) in selecting and maintaining our investments. We regularly assess market risk of our investments and believe our current policies and investment practices adequately limit those risks. However, certain of these investments are subject to general credit, liquidity, market and interest rate risks. These market risks associated with our investment portfolio may have an adverse effect on our future results of operations, liquidity and financial condition.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Of our $1.87 billion of cash and cash equivalents held at June 30, 2023, $774.3 million was held by our foreign subsidiaries. No short-term or long-term investments were held by our foreign subsidiaries at June 30,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that cash available from operations, including our cash resources and access to credit, will be sufficient for our working capital needs, including purchase commitments for raw materials and inventory, increases in accounts receivable, payments of tax liabilities, expansion and development needs, purchases of capital assets, purchases of equipment, purchases of real property, acquisitions and purchases of shares of our common stock, through at least the next 12 months. Based on our current plans, at this time we estimate that capital expenditures (exclusive of common stock repurchases) are likely to be less than $300 million through June 30, 2024. However, future business opportunities may cause a change in this estimate.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Purchases of inventories, increases in accounts receivable and other assets, acquisition of property and equipment (including real property, personal property, plant and manufacturing equipment, and coolers), leasehold improvements, advances for or the purchase of equipment for our bottlers, acquisition and maintenance of trademarks, payments of accounts payable, income taxes payable and purchases of our common stock are expected to remain our principal recurring use of cash.</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summarizes our cash flows for the six-months ended June 30, 2023 and 2022 (in thousands):</w:t>
      </w:r>
    </w:p>
    <w:tbl>
      <w:tblPr>
        <w:tblW w:w="5577" w:type="dxa"/>
        <w:jc w:val="left"/>
        <w:tblInd w:w="0" w:type="dxa"/>
        <w:tblLayout w:type="fixed"/>
        <w:tblCellMar>
          <w:top w:w="0" w:type="dxa"/>
          <w:left w:w="0" w:type="dxa"/>
          <w:bottom w:w="0" w:type="dxa"/>
          <w:right w:w="0" w:type="dxa"/>
        </w:tblCellMar>
      </w:tblPr>
      <w:tblGrid>
        <w:gridCol w:w="2656"/>
        <w:gridCol w:w="326"/>
        <w:gridCol w:w="211"/>
        <w:gridCol w:w="901"/>
        <w:gridCol w:w="326"/>
        <w:gridCol w:w="211"/>
        <w:gridCol w:w="946"/>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1686560" cy="175260"/>
                      <wp:effectExtent l="0" t="0" r="0" b="0"/>
                      <wp:wrapNone/>
                      <wp:docPr id="474" name="Frame474"/>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207010" cy="175260"/>
                      <wp:effectExtent l="0" t="0" r="0" b="0"/>
                      <wp:wrapNone/>
                      <wp:docPr id="475" name="Frame4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133985" cy="175260"/>
                      <wp:effectExtent l="0" t="0" r="0" b="0"/>
                      <wp:wrapNone/>
                      <wp:docPr id="476" name="Frame4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572135" cy="175260"/>
                      <wp:effectExtent l="0" t="0" r="0" b="0"/>
                      <wp:wrapNone/>
                      <wp:docPr id="477" name="Frame477"/>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207010" cy="175260"/>
                      <wp:effectExtent l="0" t="0" r="0" b="0"/>
                      <wp:wrapNone/>
                      <wp:docPr id="478" name="Frame4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133985" cy="175260"/>
                      <wp:effectExtent l="0" t="0" r="0" b="0"/>
                      <wp:wrapNone/>
                      <wp:docPr id="479" name="Frame4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600710" cy="175260"/>
                      <wp:effectExtent l="0" t="0" r="0" b="0"/>
                      <wp:wrapNone/>
                      <wp:docPr id="480" name="Frame480"/>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pPr>
            <w:r>
              <w:rPr/>
              <w:t>​</w: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763,162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130,663</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(158,209)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(5,738)</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(37,820)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(268,953)</w:t>
            </w:r>
          </w:p>
        </w:tc>
      </w:tr>
    </w:tbl>
    <w:p>
      <w:pPr>
        <w:pStyle w:val="TextBody"/>
        <w:bidi w:val="0"/>
        <w:spacing w:before="0" w:after="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Cash flows provided by operating activities. </w:t>
      </w:r>
      <w:r>
        <w:rPr>
          <w:rFonts w:ascii="Times New Roman;Times;serif" w:hAnsi="Times New Roman;Times;serif"/>
          <w:sz w:val="20"/>
        </w:rPr>
        <w:t xml:space="preserve">Cash provided by operating activities was $763.2 million for the six-months ended June 30, 2023, as compared with cash provided by operating activities of $130.7 million for the six-months ended June 30, 2022.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For the six-months ended June 30, 2023, cash provided by operating activities was primarily attributable to net income earned of $811.3 million and adjustments for certain non-cash expenses, consisting of $35.2 million of depreciation and amortization and non-cash lease expense, and $34.6 million of stock-based compensation. For the six-months ended June 30, 2023, cash provided by operating activities also increased due to a $132.2 million increase in accounts payable, a $93.1 million decrease in inventories, a $23.6 million increase in accrued promotional allowances and a $20.5 million increase in accrued liabilities. For the six-months ended June 30, 2023, cash used in operating activities was primarily attributable to a $317.8 million increase in accounts receivable, a $36.8 million increase in prepaid expenses and other assets, a $17.6 million decrease in accrued compensation, a $12.4 million decrease in deferred revenue, a $3.3 million increase in prepaid income taxes and a $1.2 million decrease in income taxes payable.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the six-months ended June 30, 2022, cash provided by operating activities was primarily attributable to net income earned of $567.6 million and adjustments for certain non-cash expenses, consisting of $32.6 million of stock-based compensation and $30.4 million of depreciation and amortization. For the six-months ended June 30, 2022, cash provided by operating activities also increased due to an $85.5 million increase in accounts payable, a $77.7 million increase in accrued promotional allowances and a $21.9 million decrease in deferred income taxes. For the six-months ended June 30, 2022, cash used in operating activities was primarily attributable to a $299.1 million increase in inventories, a $289.2 million increase in accounts receivable, a $15.3 million decrease in accrued compensation, a $55.7 million increase in prepaid expenses and other assets, a $14.7 million decrease in income taxes payable, a $9.1 million decrease in deferred revenue, a $3.2 million decrease in other liabilities and a $1.2 million increase in prepaid income taxes.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Cash flows used in investing activities.</w:t>
      </w:r>
      <w:r>
        <w:rPr>
          <w:rFonts w:ascii="Times New Roman;Times;serif" w:hAnsi="Times New Roman;Times;serif"/>
          <w:sz w:val="20"/>
        </w:rPr>
        <w:t xml:space="preserve"> Cash used in investing activities was $158.2 million for the six-months ended June 30, 2023 as compared to cash used in investing activities of $5.7 million for six-months ended June 30, 2022.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both the six-months ended June 30, 2023 and 2022, cash provided by investing activities was primarily attributable to sales of available-for-sale investments. For the six-months ended June 30,2022, cash used in investing activities included $329.5 million net of cash acquired, related to the CANarchy Transaction. For both the six-months ended June 30, 2023 and 2022, cash used in investing activities was primarily attributable to purchases of available-for-sale investments. To a lesser extent, for both the six-months ended June 30, 2023 and 2022, cash used in investing activities also included the acquisitions of fixed assets consisting of vans and promotional vehicles, coolers and other equipment to support our marketing and promotional activities, production equipment, furniture and fixtures, office and computer equipment, computer software, equipment used for sales and administrative activities, certain leasehold improvements, as well as acquisitions of and/or construction of and/or improvements to real property. We expect to continue to use a portion of our cash in excess of our requirements for operations for purchasing short-term and long-term investments, leasehold improvements, the acquisition of capital equipment (specifically, vans, trucks and promotional vehicles, coolers, other promotional equipment, merchandise displays, warehousing racks as well as items of plant and production equipment required to produce certain of our existing and/or new products) to develop our brand in international markets, acquisitions and for other corporate purposes. From time to time, we may also use cash to purchase additional real property related to our beverage business and/or acquire compatible businesses.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Cash flow used in financing activities. </w:t>
      </w:r>
      <w:r>
        <w:rPr>
          <w:rFonts w:ascii="Times New Roman;Times;serif" w:hAnsi="Times New Roman;Times;serif"/>
          <w:sz w:val="20"/>
        </w:rPr>
        <w:t>Cash used in financing activities was $37.8 million for the six-months ended June 30, 2023 as compared to cash used in financing activities of $269.0 million for the six-months ended June 30, 2022. Cash used in financing activities for both the six-months ended June 30, 2023 and 2022 was primarily the result of the repurchases of our common stock. Cash provided by financing activities for both the six-months ended June 30, 2023, and 2022 was primarily attributable to the issuance of our common stock under our stock-based compensation plans.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represents a summary of the Company’s contractual commitments and related scheduled maturities as of June 30, 2023:</w:t>
      </w:r>
    </w:p>
    <w:tbl>
      <w:tblPr>
        <w:tblW w:w="8646" w:type="dxa"/>
        <w:jc w:val="left"/>
        <w:tblInd w:w="0" w:type="dxa"/>
        <w:tblLayout w:type="fixed"/>
        <w:tblCellMar>
          <w:top w:w="0" w:type="dxa"/>
          <w:left w:w="0" w:type="dxa"/>
          <w:bottom w:w="0" w:type="dxa"/>
          <w:right w:w="0" w:type="dxa"/>
        </w:tblCellMar>
      </w:tblPr>
      <w:tblGrid>
        <w:gridCol w:w="2161"/>
        <w:gridCol w:w="326"/>
        <w:gridCol w:w="211"/>
        <w:gridCol w:w="781"/>
        <w:gridCol w:w="326"/>
        <w:gridCol w:w="211"/>
        <w:gridCol w:w="781"/>
        <w:gridCol w:w="326"/>
        <w:gridCol w:w="211"/>
        <w:gridCol w:w="781"/>
        <w:gridCol w:w="326"/>
        <w:gridCol w:w="211"/>
        <w:gridCol w:w="676"/>
        <w:gridCol w:w="326"/>
        <w:gridCol w:w="211"/>
        <w:gridCol w:w="781"/>
      </w:tblGrid>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207010" cy="175260"/>
                      <wp:effectExtent l="0" t="0" r="0" b="0"/>
                      <wp:wrapNone/>
                      <wp:docPr id="481" name="Frame4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133985" cy="175260"/>
                      <wp:effectExtent l="0" t="0" r="0" b="0"/>
                      <wp:wrapNone/>
                      <wp:docPr id="482" name="Frame4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495935" cy="175260"/>
                      <wp:effectExtent l="0" t="0" r="0" b="0"/>
                      <wp:wrapNone/>
                      <wp:docPr id="483" name="Frame48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207010" cy="175260"/>
                      <wp:effectExtent l="0" t="0" r="0" b="0"/>
                      <wp:wrapNone/>
                      <wp:docPr id="484" name="Frame4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133985" cy="175260"/>
                      <wp:effectExtent l="0" t="0" r="0" b="0"/>
                      <wp:wrapNone/>
                      <wp:docPr id="485" name="Frame4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495935" cy="175260"/>
                      <wp:effectExtent l="0" t="0" r="0" b="0"/>
                      <wp:wrapNone/>
                      <wp:docPr id="486" name="Frame48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207010" cy="175260"/>
                      <wp:effectExtent l="0" t="0" r="0" b="0"/>
                      <wp:wrapNone/>
                      <wp:docPr id="487" name="Frame4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133985" cy="175260"/>
                      <wp:effectExtent l="0" t="0" r="0" b="0"/>
                      <wp:wrapNone/>
                      <wp:docPr id="488" name="Frame4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495935" cy="175260"/>
                      <wp:effectExtent l="0" t="0" r="0" b="0"/>
                      <wp:wrapNone/>
                      <wp:docPr id="489" name="Frame48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207010" cy="175260"/>
                      <wp:effectExtent l="0" t="0" r="0" b="0"/>
                      <wp:wrapNone/>
                      <wp:docPr id="490" name="Frame4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133985" cy="175260"/>
                      <wp:effectExtent l="0" t="0" r="0" b="0"/>
                      <wp:wrapNone/>
                      <wp:docPr id="491" name="Frame4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429260" cy="175260"/>
                      <wp:effectExtent l="0" t="0" r="0" b="0"/>
                      <wp:wrapNone/>
                      <wp:docPr id="492" name="Frame49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207010" cy="175260"/>
                      <wp:effectExtent l="0" t="0" r="0" b="0"/>
                      <wp:wrapNone/>
                      <wp:docPr id="493" name="Frame4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133985" cy="175260"/>
                      <wp:effectExtent l="0" t="0" r="0" b="0"/>
                      <wp:wrapNone/>
                      <wp:docPr id="494" name="Frame4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495935" cy="175260"/>
                      <wp:effectExtent l="0" t="0" r="0" b="0"/>
                      <wp:wrapNone/>
                      <wp:docPr id="495" name="Frame49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159"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Payments due by period (in thousands)</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Less than</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noBreakHyphen/>
              <w:t>3 </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noBreakHyphen/>
              <w:t>5 </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More than</w:t>
            </w:r>
          </w:p>
        </w:tc>
      </w:tr>
      <w:tr>
        <w:trPr/>
        <w:tc>
          <w:tcPr>
            <w:tcW w:w="21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Obligations</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 year</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years</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years</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 years</w:t>
            </w:r>
          </w:p>
        </w:tc>
      </w:tr>
      <w:tr>
        <w:trPr/>
        <w:tc>
          <w:tcPr>
            <w:tcW w:w="216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Contractual Obligations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380,396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276,567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98,063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pPr>
            <w:r>
              <w:rPr/>
              <w:t>—</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8,572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11,582</w:t>
            </w:r>
          </w:p>
        </w:tc>
      </w:tr>
      <w:tr>
        <w:trPr/>
        <w:tc>
          <w:tcPr>
            <w:tcW w:w="216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Purchase Commitments</w:t>
            </w:r>
            <w:r>
              <w:rPr>
                <w:rFonts w:ascii="Times New Roman;Times;serif" w:hAnsi="Times New Roman;Times;serif"/>
                <w:sz w:val="15"/>
              </w:rPr>
              <w:t>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309,256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296,386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12,480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16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735,258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586,278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122,670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11,582</w:t>
            </w:r>
          </w:p>
        </w:tc>
      </w:tr>
    </w:tbl>
    <w:p>
      <w:pPr>
        <w:pStyle w:val="TextBody"/>
        <w:bidi w:val="0"/>
        <w:spacing w:before="0" w:after="0"/>
        <w:ind w:left="0" w:right="0" w:hanging="0"/>
        <w:jc w:val="left"/>
        <w:rPr/>
      </w:pPr>
      <w:r>
        <w:rPr/>
        <w:t>​</w:t>
      </w:r>
    </w:p>
    <w:p>
      <w:pPr>
        <w:pStyle w:val="TextBody"/>
        <w:bidi w:val="0"/>
        <w:spacing w:lineRule="auto" w:line="240" w:before="0" w:after="0"/>
        <w:ind w:left="0" w:right="0" w:hanging="0"/>
        <w:jc w:val="both"/>
        <w:rPr>
          <w:rFonts w:ascii="Times New Roman;Times;serif" w:hAnsi="Times New Roman;Times;serif"/>
          <w:sz w:val="18"/>
        </w:rPr>
      </w:pPr>
      <w:r>
        <w:rPr>
          <w:rFonts w:ascii="Times New Roman;Times;serif" w:hAnsi="Times New Roman;Times;serif"/>
          <w:i/>
          <w:sz w:val="14"/>
        </w:rPr>
        <w:t>1</w:t>
      </w:r>
      <w:r>
        <w:rPr>
          <w:rFonts w:ascii="Times New Roman;Times;serif" w:hAnsi="Times New Roman;Times;serif"/>
          <w:i/>
          <w:sz w:val="18"/>
        </w:rPr>
        <w:t>Contractual obligations include our obligations related to sponsorships and other commitments.</w:t>
      </w:r>
    </w:p>
    <w:p>
      <w:pPr>
        <w:pStyle w:val="TextBody"/>
        <w:bidi w:val="0"/>
        <w:spacing w:lineRule="auto" w:line="240" w:before="0" w:after="240"/>
        <w:ind w:left="0" w:right="0" w:hanging="0"/>
        <w:jc w:val="both"/>
        <w:rPr>
          <w:rFonts w:ascii="Times New Roman;Times;serif" w:hAnsi="Times New Roman;Times;serif"/>
          <w:sz w:val="18"/>
        </w:rPr>
      </w:pPr>
      <w:r>
        <w:rPr>
          <w:rFonts w:ascii="Times New Roman;Times;serif" w:hAnsi="Times New Roman;Times;serif"/>
          <w:i/>
          <w:sz w:val="14"/>
        </w:rPr>
        <w:t>2</w:t>
      </w:r>
      <w:r>
        <w:rPr>
          <w:rFonts w:ascii="Times New Roman;Times;serif" w:hAnsi="Times New Roman;Times;serif"/>
          <w:i/>
          <w:sz w:val="18"/>
        </w:rPr>
        <w:t>Purchase commitments include obligations made by us and our subsidiaries to various suppliers for raw materials used in the production of our products. These obligations vary in terms, but are generally satisfied within one year.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approximately $3.8 million of unrecognized tax benefits have been recorded as liabilities as of June 30, 2023. It is expected that the amount of unrecognized tax benefits will not significantly change within the next 12 months. As of June 30, 2023, we had $0.6 million of accrued interest and penalties related to unrecognized tax benefits.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consolidated financial statements are prepared in accordance with GAAP. GAAP requires us to make estimates and assumptions that affect the reported amounts in our consolidated financial statements. Critical accounting estimates are those that management believes are the most important to the portrayal of our financial condition and results and require the most difficult, subjective or complex judgments, often as a result of the need to make estimates about the effect of matters that are inherently uncertain and that have had, or are reasonably likely to have, a material impact on our financial condition or results of operations. Judgments and uncertainties may result in materially different amounts being reported under different conditions or using different assumptions. There have been no material changes to our critical accounting policies or estimates from the information provided in “Part II, Item 7, Management’s Discussion and Analysis of Financial Condition and Results of Operations” and “Part II, Item 8 – Financial Statements and Supplementary Data – Note 1 – Organization and Summary of Significant Accounting Policies”, included in our Annual Report on Form 10-K for the fiscal year ended December 31, 2022 (“Form 10-K”).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have been no changes in recently issued or adopted accounting pronouncements that would materially impact the Company from those disclosed in our Annual Report on Form 10-K for the fiscal year ended December 31, 2022.</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Inflation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inflation did not have a significant impact on our results of operations for the three- and six-months ended June 30,2023.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Certain statements made in this report may constitute forward-looking statements (within the meaning of Section 27A of the Securities Act of 1933, as amended, and Section 21E of the Securities Exchange Act of 1934, as amended) (the “Exchange Act”) regarding the expectations of management with respect to revenues, profitability, adequacy of funds from operations and our existing credit facility, among other things. All statements containing a projection of revenues, income (loss), earnings (loss) per share, capital expenditures, dividends, capital structure or other financial items, a statement of management’s plans and objectives for future operations, or a statement of future economic performance contained in management’s discussion and analysis of financial condition and results of operations, including statements related to new products, volume growth and statements encompassing general optimism about future operating results and non-historical information, are forward-looking statements within the meaning of the Exchange Act. Without limiting the foregoing, the words “believes,” “thinks,” “anticipates,” “plans,” “expects,” “estimates” and similar expressions are intended to identify forward-looking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Management cautions that these statements are qualified by their terms and/or important factors, many of which are outside our control and involve a number of risks, uncertainties and other factors, that could cause actual results and events to differ materially from the statements made including, but not limited to,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integrate the Bang Energy® business and recognize the anticipated benefits of the transaction;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transition the acquired Bang Energy® beverages to the Company’s primary bottlers/distributors, including, limiting disruptions in distribution during the transition period;</w:t>
            </w:r>
          </w:p>
        </w:tc>
      </w:tr>
    </w:tbl>
    <w:tbl>
      <w:tblPr>
        <w:tblW w:w="9546" w:type="dxa"/>
        <w:jc w:val="left"/>
        <w:tblInd w:w="0" w:type="dxa"/>
        <w:tblLayout w:type="fixed"/>
        <w:tblCellMar>
          <w:top w:w="28" w:type="dxa"/>
          <w:left w:w="28" w:type="dxa"/>
          <w:bottom w:w="28" w:type="dxa"/>
          <w:right w:w="28" w:type="dxa"/>
        </w:tblCellMar>
      </w:tblPr>
      <w:tblGrid>
        <w:gridCol w:w="124"/>
        <w:gridCol w:w="256"/>
        <w:gridCol w:w="9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procure shelf space, retain customers and increase sales of the acquired Bang Energy® beverages;</w:t>
            </w:r>
          </w:p>
        </w:tc>
      </w:tr>
    </w:tbl>
    <w:tbl>
      <w:tblPr>
        <w:tblW w:w="8691" w:type="dxa"/>
        <w:jc w:val="left"/>
        <w:tblInd w:w="0" w:type="dxa"/>
        <w:tblLayout w:type="fixed"/>
        <w:tblCellMar>
          <w:top w:w="28" w:type="dxa"/>
          <w:left w:w="28" w:type="dxa"/>
          <w:bottom w:w="28" w:type="dxa"/>
          <w:right w:w="28" w:type="dxa"/>
        </w:tblCellMar>
      </w:tblPr>
      <w:tblGrid>
        <w:gridCol w:w="124"/>
        <w:gridCol w:w="256"/>
        <w:gridCol w:w="8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absorb, mitigate or pass on cost increases to our bottlers/distributors and/or consumers;</w:t>
            </w:r>
          </w:p>
        </w:tc>
      </w:tr>
    </w:tbl>
    <w:tbl>
      <w:tblPr>
        <w:tblW w:w="8616" w:type="dxa"/>
        <w:jc w:val="left"/>
        <w:tblInd w:w="0" w:type="dxa"/>
        <w:tblLayout w:type="fixed"/>
        <w:tblCellMar>
          <w:top w:w="28" w:type="dxa"/>
          <w:left w:w="28" w:type="dxa"/>
          <w:bottom w:w="28" w:type="dxa"/>
          <w:right w:w="28" w:type="dxa"/>
        </w:tblCellMar>
      </w:tblPr>
      <w:tblGrid>
        <w:gridCol w:w="124"/>
        <w:gridCol w:w="256"/>
        <w:gridCol w:w="8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rising costs, interest rates and inflation on the discretionary income of our consumers;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Uncertainties associated with an economic slowdown or recession that could negatively impact the financial condition of our customers and could result in a reduced demand for our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the military conflict in Ukraine as well as tensions across the Taiwan Straits, including supply chain disruptions, volatility in commodity and energy prices, increased economic uncertainty and escalating geopolitical tensions;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growth and/or growth rates (positive or negative) of the domestic and international energy drink categories generally, including in the convenience and gas channel (which is our largest channel) and the impact on demand for our products resulting from deteriorating economic conditions and/or financial uncertainties;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temporary or permanent facility closures, production slowdowns and disruptions in operations experienced by our manufacturing facilities, our suppliers, and/or bottlers/distributors, and/or co-packers, and/or breweries, including any material disruptions on the production and distribution of our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 to our and/or our copackers’ manufacturing facilities and operations due to severe weather, natural disasters, climate change, labor-related issues, production difficulties, capacity limitations, or other causes, which could impair our ability to produce or deliver finished products, resulting in a negative impact on our operating results;</w:t>
            </w:r>
          </w:p>
        </w:tc>
      </w:tr>
    </w:tbl>
    <w:tbl>
      <w:tblPr>
        <w:tblW w:w="10101" w:type="dxa"/>
        <w:jc w:val="left"/>
        <w:tblInd w:w="0" w:type="dxa"/>
        <w:tblLayout w:type="fixed"/>
        <w:tblCellMar>
          <w:top w:w="28" w:type="dxa"/>
          <w:left w:w="28" w:type="dxa"/>
          <w:bottom w:w="28" w:type="dxa"/>
          <w:right w:w="28" w:type="dxa"/>
        </w:tblCellMar>
      </w:tblPr>
      <w:tblGrid>
        <w:gridCol w:w="124"/>
        <w:gridCol w:w="256"/>
        <w:gridCol w:w="9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modify our manufacturing facilities to comply with safety, health, environmental, and other regulations;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consolidation of co-packers leading us to increasingly rely on fewer co-packing groups, certain of which account for a large percentage of our co-packing capacity for our Monster Energy® drinks;</w:t>
            </w:r>
          </w:p>
        </w:tc>
      </w:tr>
    </w:tbl>
    <w:tbl>
      <w:tblPr>
        <w:tblW w:w="9861" w:type="dxa"/>
        <w:jc w:val="left"/>
        <w:tblInd w:w="0" w:type="dxa"/>
        <w:tblLayout w:type="fixed"/>
        <w:tblCellMar>
          <w:top w:w="28" w:type="dxa"/>
          <w:left w:w="28" w:type="dxa"/>
          <w:bottom w:w="28" w:type="dxa"/>
          <w:right w:w="28" w:type="dxa"/>
        </w:tblCellMar>
      </w:tblPr>
      <w:tblGrid>
        <w:gridCol w:w="124"/>
        <w:gridCol w:w="256"/>
        <w:gridCol w:w="9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logistical issues and delays, including shortages of shipping containers and port of entry congestion;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human and economic consequences of a material reemergence of COVID-19, including new variants, as well as the measures that may be taken by governments and businesses (including the Company and its suppliers, bottlers/distributors, co-packers, and other service providers) and the public at large to limit the spread of COVID-19, including, but not limited to, lockdowns, labor issues, delays, and/or decreased sponsorship, endorsement, sampling, and/or innovation activities, which may have an adverse impact on our business and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extensive commercial arrangements with TCCC and, as a result, our future performance is substantially dependent on the success of our relationship with TCCC;</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TCCC’s bottlers/distributors distributing Coca-Cola brand energy drinks and possible reductions in the number of our SKUs carried by such bottlers/distributors and/or such bottlers/distributors imposing limitations on distributing new product SKUs;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TCCC being one of our significant stockholders and the potential divergence of TCCC’s interests from those of our other stockholders;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relationships with TCCC system bottlers/distributors and manage their ongoing commitment to focus on our non-alcohol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 in distribution channels and/or decline in sales due to the termination and/or insolvency of existing and/or new domestic and/or international bottlers/distributors;</w:t>
            </w:r>
          </w:p>
        </w:tc>
      </w:tr>
    </w:tbl>
    <w:tbl>
      <w:tblPr>
        <w:tblW w:w="7521" w:type="dxa"/>
        <w:jc w:val="left"/>
        <w:tblInd w:w="0" w:type="dxa"/>
        <w:tblLayout w:type="fixed"/>
        <w:tblCellMar>
          <w:top w:w="28" w:type="dxa"/>
          <w:left w:w="28" w:type="dxa"/>
          <w:bottom w:w="28" w:type="dxa"/>
          <w:right w:w="28" w:type="dxa"/>
        </w:tblCellMar>
      </w:tblPr>
      <w:tblGrid>
        <w:gridCol w:w="124"/>
        <w:gridCol w:w="256"/>
        <w:gridCol w:w="71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Lack of anticipated demand for our products in domestic and/or international markets;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our inventory levels or those of our bottlers/distributors, planned or otherwise, and the resultant impact on our revenues;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Unfavorable regulations, including taxation, age restrictions imposed on the sale, purchase, or consumption of our products, marketing restrictions, product registration requirements, tariffs, trade restrictions, container size limitations and/or ingredient restrictions;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inquiries from, and/or actions by, state attorneys general, the Federal Trade Commission (the “FTC”), the Food and Drug Administration (the “FDA”), the Bureau of Alcohol, Tobacco, Firearms and Explosives (the “ATF”), municipalities, city attorneys, other government agencies, quasi-government agencies, government officials (including members of U.S. Congress) and/or analogous central and local agencies and other authorities in the foreign countries in which our products are manufactured and/or distributed, into the advertising, marketing, promotion, ingredients, sale and/or consumption of our products, including voluntary and/or required changes to our business practices;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comply with laws, regulations and evolving industry standards regarding consumer privacy and data use and security, including, but not limited to, with respect to the General Data Protection Regulation and the California Consumer Privacy Act of 2018;</w:t>
            </w:r>
          </w:p>
        </w:tc>
      </w:tr>
    </w:tbl>
    <w:tbl>
      <w:tblPr>
        <w:tblW w:w="9696" w:type="dxa"/>
        <w:jc w:val="left"/>
        <w:tblInd w:w="0" w:type="dxa"/>
        <w:tblLayout w:type="fixed"/>
        <w:tblCellMar>
          <w:top w:w="28" w:type="dxa"/>
          <w:left w:w="28" w:type="dxa"/>
          <w:bottom w:w="28" w:type="dxa"/>
          <w:right w:w="28" w:type="dxa"/>
        </w:tblCellMar>
      </w:tblPr>
      <w:tblGrid>
        <w:gridCol w:w="124"/>
        <w:gridCol w:w="256"/>
        <w:gridCol w:w="9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achieve profitability and/or repatriate cash from certain of our operations outside the United States;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legal and regulatory requirements in foreign jurisdictions, potential difficulties in staffing and managing foreign operations and potentially higher incidence of fraud or corruption and credit risk of foreign customers and/or bottlers/distributors;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U.S. tax laws as a result of any legislation proposed by the U.S. Presidential Administration or U.S. Congress, which may include efforts to change or repeal the 2017 Tax Cuts and Jobs Act and the federal corporate income tax rate reduction;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produce our products in international markets in which they are sold, thereby reducing freight costs and/or product damages;</w:t>
            </w:r>
          </w:p>
        </w:tc>
      </w:tr>
    </w:tbl>
    <w:tbl>
      <w:tblPr>
        <w:tblW w:w="7161" w:type="dxa"/>
        <w:jc w:val="left"/>
        <w:tblInd w:w="0" w:type="dxa"/>
        <w:tblLayout w:type="fixed"/>
        <w:tblCellMar>
          <w:top w:w="28" w:type="dxa"/>
          <w:left w:w="28" w:type="dxa"/>
          <w:bottom w:w="28" w:type="dxa"/>
          <w:right w:w="28" w:type="dxa"/>
        </w:tblCellMar>
      </w:tblPr>
      <w:tblGrid>
        <w:gridCol w:w="124"/>
        <w:gridCol w:w="256"/>
        <w:gridCol w:w="67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effectively manage our inventories and/or our accounts receivables;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foreign currency exchange rate risk with respect to our sales, expenses, profits, assets and liabilities denominated in currencies other than the U.S. dollar, which will continue to increase as foreign sales increase;</w:t>
            </w:r>
          </w:p>
        </w:tc>
      </w:tr>
    </w:tbl>
    <w:tbl>
      <w:tblPr>
        <w:tblW w:w="8376" w:type="dxa"/>
        <w:jc w:val="left"/>
        <w:tblInd w:w="0" w:type="dxa"/>
        <w:tblLayout w:type="fixed"/>
        <w:tblCellMar>
          <w:top w:w="28" w:type="dxa"/>
          <w:left w:w="28" w:type="dxa"/>
          <w:bottom w:w="28" w:type="dxa"/>
          <w:right w:w="28" w:type="dxa"/>
        </w:tblCellMar>
      </w:tblPr>
      <w:tblGrid>
        <w:gridCol w:w="124"/>
        <w:gridCol w:w="256"/>
        <w:gridCol w:w="7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long-term impact of the United Kingdom’s departure from the European Union (or “Brexit”);</w:t>
            </w:r>
          </w:p>
        </w:tc>
      </w:tr>
    </w:tbl>
    <w:tbl>
      <w:tblPr>
        <w:tblW w:w="6231" w:type="dxa"/>
        <w:jc w:val="left"/>
        <w:tblInd w:w="0" w:type="dxa"/>
        <w:tblLayout w:type="fixed"/>
        <w:tblCellMar>
          <w:top w:w="28" w:type="dxa"/>
          <w:left w:w="28" w:type="dxa"/>
          <w:bottom w:w="28" w:type="dxa"/>
          <w:right w:w="28" w:type="dxa"/>
        </w:tblCellMar>
      </w:tblPr>
      <w:tblGrid>
        <w:gridCol w:w="124"/>
        <w:gridCol w:w="256"/>
        <w:gridCol w:w="5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standards may affect our reported profitability;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Implications of the Organization for Economic Cooperation and Development’s base erosion and profit shifting project;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proceedings which may be brought against us by the Securities and Exchange Commission (the “SEC”), the FDA, the FTC, the ATF or other governmental agencies or bodies;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and/or possibility of future shareholder derivative actions or shareholder securities litigation that may be filed against us and/or against certain of our officers and directors, and the possibility of other private shareholder litigation;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of product liability or consumer fraud litigation and/or class action litigation (or its analog in foreign jurisdictions) regarding the safety of our products and/or the ingredients in and/or claims made in connection with our products and/or alleging false advertising, marketing and/or promotion, and the possibility of future product liability and/or class action lawsuits;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Exposure to significant liabilities due to litigation, legal or regulatory proceedings, including litigation directed at the energy and alcohol beverage industries generally or at the Company in particular;</w:t>
            </w:r>
          </w:p>
        </w:tc>
      </w:tr>
    </w:tbl>
    <w:tbl>
      <w:tblPr>
        <w:tblW w:w="3231" w:type="dxa"/>
        <w:jc w:val="left"/>
        <w:tblInd w:w="0" w:type="dxa"/>
        <w:tblLayout w:type="fixed"/>
        <w:tblCellMar>
          <w:top w:w="28" w:type="dxa"/>
          <w:left w:w="28" w:type="dxa"/>
          <w:bottom w:w="28" w:type="dxa"/>
          <w:right w:w="28" w:type="dxa"/>
        </w:tblCellMar>
      </w:tblPr>
      <w:tblGrid>
        <w:gridCol w:w="124"/>
        <w:gridCol w:w="256"/>
        <w:gridCol w:w="2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Intellectual property injunctions;</w:t>
            </w:r>
          </w:p>
        </w:tc>
      </w:tr>
    </w:tbl>
    <w:tbl>
      <w:tblPr>
        <w:tblW w:w="4326" w:type="dxa"/>
        <w:jc w:val="left"/>
        <w:tblInd w:w="0" w:type="dxa"/>
        <w:tblLayout w:type="fixed"/>
        <w:tblCellMar>
          <w:top w:w="28" w:type="dxa"/>
          <w:left w:w="28" w:type="dxa"/>
          <w:bottom w:w="28" w:type="dxa"/>
          <w:right w:w="28" w:type="dxa"/>
        </w:tblCellMar>
      </w:tblPr>
      <w:tblGrid>
        <w:gridCol w:w="124"/>
        <w:gridCol w:w="256"/>
        <w:gridCol w:w="3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Unfavorable resolution of possible tax matters;</w:t>
            </w:r>
          </w:p>
        </w:tc>
      </w:tr>
    </w:tbl>
    <w:tbl>
      <w:tblPr>
        <w:tblW w:w="9741" w:type="dxa"/>
        <w:jc w:val="left"/>
        <w:tblInd w:w="0" w:type="dxa"/>
        <w:tblLayout w:type="fixed"/>
        <w:tblCellMar>
          <w:top w:w="28" w:type="dxa"/>
          <w:left w:w="28" w:type="dxa"/>
          <w:bottom w:w="28" w:type="dxa"/>
          <w:right w:w="28" w:type="dxa"/>
        </w:tblCellMar>
      </w:tblPr>
      <w:tblGrid>
        <w:gridCol w:w="124"/>
        <w:gridCol w:w="256"/>
        <w:gridCol w:w="9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Uncertainty and volatility in the domestic and global economies, including risk of counterparty default or failure;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address any significant deficiencies or material weakness in our internal controls over financial reporting;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continue to generate sufficient cash flows to support our expansion plans and general operating activities;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Decreased demand for our products resulting from changes in consumer preferences, including, but not limited to: changes in demand for different packages, sizes and configurations; changes due to perceived health concerns such as obesity, ingredients in our products or packaging, and alcohol abuse; changes due to product safety concerns and/or changes due to decreased consumer discretionary spending power;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publicity surrounding obesity, alcohol consumption, and other health concerns related to our products, product safety and quality, water usage, environmental impact and sustainability, human rights, our culture, workforce and labor and workplace laws;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meet or comply with sustainability-related expectations, standards, and regulations, including forthcoming rules set forth by the SEC and European Commission;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demand that are weather or season related and/or for other reasons, including changes in product category and/or package consumption and changes in cost and availability of certain key ingredients including aluminum cans, as well as disruptions to the supply chain, as a result of climate change and poor or extreme weather conditions;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unstable political conditions, civil unrest, large scale terrorist acts, the outbreak or escalation of armed hostilities, major natural disasters and extreme weather conditions, or widespread outbreaks of infectious diseases (such as the COVID-19 pandemic), or unforeseen economic and political changes and local or international catastrophic events;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on our business of competitive products and pricing pressures and our ability to increase or maintain our market share as a result of actions by competitors, including unsubstantiated and/or misleading claims, false advertising claims and tortious interference, as well as competitors selling misbranded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on our business of trademark and trade dress infringement proceedings brought against us relating to any of our brands, which could result in an injunction barring us from selling certain of our products and/or require changes to be made to our current trade dress;</w:t>
            </w:r>
          </w:p>
        </w:tc>
      </w:tr>
    </w:tbl>
    <w:tbl>
      <w:tblPr>
        <w:tblW w:w="9846" w:type="dxa"/>
        <w:jc w:val="left"/>
        <w:tblInd w:w="0" w:type="dxa"/>
        <w:tblLayout w:type="fixed"/>
        <w:tblCellMar>
          <w:top w:w="28" w:type="dxa"/>
          <w:left w:w="28" w:type="dxa"/>
          <w:bottom w:w="28" w:type="dxa"/>
          <w:right w:w="28" w:type="dxa"/>
        </w:tblCellMar>
      </w:tblPr>
      <w:tblGrid>
        <w:gridCol w:w="124"/>
        <w:gridCol w:w="256"/>
        <w:gridCol w:w="9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implement and/or maintain price increases, including through reductions in promotional allowances;</w:t>
            </w:r>
          </w:p>
        </w:tc>
      </w:tr>
    </w:tbl>
    <w:tbl>
      <w:tblPr>
        <w:tblW w:w="7221" w:type="dxa"/>
        <w:jc w:val="left"/>
        <w:tblInd w:w="0" w:type="dxa"/>
        <w:tblLayout w:type="fixed"/>
        <w:tblCellMar>
          <w:top w:w="28" w:type="dxa"/>
          <w:left w:w="28" w:type="dxa"/>
          <w:bottom w:w="28" w:type="dxa"/>
          <w:right w:w="28" w:type="dxa"/>
        </w:tblCellMar>
      </w:tblPr>
      <w:tblGrid>
        <w:gridCol w:w="124"/>
        <w:gridCol w:w="256"/>
        <w:gridCol w:w="68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inability to achieve volume growth through product and packaging initiatives;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sustain the current level of sales and/or achieve growth for our Monster Energy® brand energy drinks and/or our other products, including our Strategic Brands and Alcohol Brands;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implement our growth strategy, including expanding our business in existing and new sectors, such as the alcohol beverage sector;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inherent operational risks presented by the alcohol beverage industry that may not be adequately covered by insurance or lead to litigation relating to alcohol marketing, advertising, or distribution practices, alcohol abuse problems and other health consequences arising from excessive consumption of or other misuse of alcohol, including death;</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criticism of our products and/or the energy drink and/or alcohol beverage markets generally and/or legislation enacted (whether as a result of such criticism or otherwise) that restricts the marketing or sale of energy drinks and/or alcohol beverages (including prohibiting the sale of energy and/or alcohol drinks at certain establishments or pursuant to certain governmental programs), limits caffeine or alcohol content in beverages, requires certain product labeling disclosures and/or warnings, imposes excise and/or sales taxes, limits product sizes and/or imposes age restrictions for the sale of energy and/or alcohol drinks;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comply with and/or resulting lower consumer demand and/or lower profit margins for energy drinks and/or alcohol beverages due to proposed and/or future U.S. federal, state and local laws and regulations and/or proposed or existing laws and regulations in certain foreign jurisdictions and/or any changes therein, including changes in taxation requirements (including tax rate changes, new tax laws, new and/or increased excise, sales and/or other taxes on our products and revised tax law interpretations) and environmental laws, as well as the Federal Food, Drug, and Cosmetic Act and regulations or rules made thereunder or in connection therewith by the FDA. In addition, our business may be adversely impacted by changes in other food, drug or similar laws in the United States and internationally, especially those changes that may restrict the sale of energy and/or alcohol drinks (including prohibiting the sale of energy and/or alcohol drinks at certain establishments or pursuant to certain governmental programs), limit caffeine or alcohol content in beverages, require certain product labeling disclosures and/or warnings, impose excise taxes, impose sugar taxes, limit product sizes, or impose age restrictions for the sale of energy and/or alcohol drinks, as well as laws and regulations or rules made or enforced by the ATF and/or the FTC or their foreign counterparts;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Disruptions in the timely import or export of our products and/or ingredients including flavors, flavor ingredients and supplement ingredients due to port congestion, strikes and related labor issues or otherwise;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satisfy all criteria set forth in any model energy and/or alcohol drink guidelines, including, without limitation, those adopted by the American Beverage Association, of which we are a member, and/or any international beverage associations and the impact of our failure to satisfy such guidelines may have on our business;</w:t>
            </w:r>
          </w:p>
        </w:tc>
      </w:tr>
    </w:tbl>
    <w:tbl>
      <w:tblPr>
        <w:tblW w:w="8796" w:type="dxa"/>
        <w:jc w:val="left"/>
        <w:tblInd w:w="0" w:type="dxa"/>
        <w:tblLayout w:type="fixed"/>
        <w:tblCellMar>
          <w:top w:w="28" w:type="dxa"/>
          <w:left w:w="28" w:type="dxa"/>
          <w:bottom w:w="28" w:type="dxa"/>
          <w:right w:w="28" w:type="dxa"/>
        </w:tblCellMar>
      </w:tblPr>
      <w:tblGrid>
        <w:gridCol w:w="124"/>
        <w:gridCol w:w="256"/>
        <w:gridCol w:w="8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unfavorable or adverse public relations, press, articles, comments and/or media attention;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cost, quality and availability of containers, packaging materials, aluminum cans or kegs, the Midwest and other premiums, raw materials, including flavors and flavor ingredients, and other ingredients and juice concentrates, and our ability to obtain and/or maintain favorable supply arrangements and relationships and procure timely and/or sufficient production of all or any of our products to meet customer demand;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shortages that may be experienced in the procurement of containers and/or other raw materials including, without limitation, water, flavors, flavor ingredients, supplement ingredients, aluminum cans generally, PET containers used for our Monster Hydro® energy drinks, 24-ounce aluminum cap cans, 19.2-ounce cans and 550ml BRE aluminum cans with resealable ends;</w:t>
            </w:r>
          </w:p>
        </w:tc>
      </w:tr>
    </w:tbl>
    <w:tbl>
      <w:tblPr>
        <w:tblW w:w="5736" w:type="dxa"/>
        <w:jc w:val="left"/>
        <w:tblInd w:w="0" w:type="dxa"/>
        <w:tblLayout w:type="fixed"/>
        <w:tblCellMar>
          <w:top w:w="28" w:type="dxa"/>
          <w:left w:w="28" w:type="dxa"/>
          <w:bottom w:w="28" w:type="dxa"/>
          <w:right w:w="28" w:type="dxa"/>
        </w:tblCellMar>
      </w:tblPr>
      <w:tblGrid>
        <w:gridCol w:w="124"/>
        <w:gridCol w:w="256"/>
        <w:gridCol w:w="5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in procuring sufficient quantities of aluminum cans;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secure sufficient quantities of aluminum cans and sufficient co-packing availability in the future, we may be required to commit to minimum purchase volumes and/or minimum co-packing volumes. In the event that we over-estimate future demand for our products and therefore may not purchase such minimum quantities in full, or utilize such minimum co-packing volumes in full, we may incur claims and/or costs or losses in respect of such shortfalls;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on our cost of sales of corporate activity among the limited number of suppliers from whom we purchase certain raw materials;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pass on to our customers all or a portion of any increases in the costs of raw materials, ingredients, commodities and/or other cost inputs affecting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penetrate new domestic and/or international markets and/or gain approval or mitigate the delay in securing approval for the sale of our products in various countries;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effectiveness of sales and/or marketing efforts by us and/or by the bottlers/distributors of our products, most of whom distribute products that may be regarded as competitive with our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Unilateral decisions by bottlers/distributors, buying groups, convenience and gas chains, grocery chains, mass merchandisers, specialty chain stores, e-commerce retailers, e-commerce websites, club stores and other customers to discontinue carrying all or any of our products that they are carrying at any time, restrict the range of our products they carry, impose restrictions or limitations on the sale of our products and/or the sizes of containers of our products and/or devote less resources to the sale of our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certain activities by competitors and others to persuade regulators and/or retailers and/or customers in certain countries to reduce the permitted or maximum container sizes for our products from those currently being sold and marketed by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possible trading disputes between our bottler/distributors and their customers and/or one or more buying groups which may result in the delisting of certain of the Company products, temporarily or otherwise;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effects of retailer consolidation on our business and our ability to successfully adapt to the rapidly changing retail landscape, including, but not limited to, competition from new entrants, consolidations by competitors and retailers, and other competitive activities;</w:t>
            </w:r>
          </w:p>
        </w:tc>
      </w:tr>
    </w:tbl>
    <w:tbl>
      <w:tblPr>
        <w:tblW w:w="8526" w:type="dxa"/>
        <w:jc w:val="left"/>
        <w:tblInd w:w="0" w:type="dxa"/>
        <w:tblLayout w:type="fixed"/>
        <w:tblCellMar>
          <w:top w:w="28" w:type="dxa"/>
          <w:left w:w="28" w:type="dxa"/>
          <w:bottom w:w="28" w:type="dxa"/>
          <w:right w:w="28" w:type="dxa"/>
        </w:tblCellMar>
      </w:tblPr>
      <w:tblGrid>
        <w:gridCol w:w="124"/>
        <w:gridCol w:w="256"/>
        <w:gridCol w:w="8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adapt to the changing retail landscape with the rapid growth in e-commerce retailers;</w:t>
            </w:r>
          </w:p>
        </w:tc>
      </w:tr>
    </w:tbl>
    <w:tbl>
      <w:tblPr>
        <w:tblW w:w="5661" w:type="dxa"/>
        <w:jc w:val="left"/>
        <w:tblInd w:w="0" w:type="dxa"/>
        <w:tblLayout w:type="fixed"/>
        <w:tblCellMar>
          <w:top w:w="28" w:type="dxa"/>
          <w:left w:w="28" w:type="dxa"/>
          <w:bottom w:w="28" w:type="dxa"/>
          <w:right w:w="28" w:type="dxa"/>
        </w:tblCellMar>
      </w:tblPr>
      <w:tblGrid>
        <w:gridCol w:w="124"/>
        <w:gridCol w:w="256"/>
        <w:gridCol w:w="5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effects of bottler/distributor consolidation on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and/or effectiveness, now or in the future, of our sponsorships and endorsements, marketing and promotional strategies;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sports marketing, social media and other general marketing endeavors both domestically and internationally;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Possible product recalls and/or reformulations of certain of our products and/or market withdrawals of certain of our products due to defective and/or non-compliant formulas or production in one or more jurisdictions;</w:t>
            </w:r>
          </w:p>
        </w:tc>
      </w:tr>
    </w:tbl>
    <w:tbl>
      <w:tblPr>
        <w:tblW w:w="8541" w:type="dxa"/>
        <w:jc w:val="left"/>
        <w:tblInd w:w="0" w:type="dxa"/>
        <w:tblLayout w:type="fixed"/>
        <w:tblCellMar>
          <w:top w:w="28" w:type="dxa"/>
          <w:left w:w="28" w:type="dxa"/>
          <w:bottom w:w="28" w:type="dxa"/>
          <w:right w:w="28" w:type="dxa"/>
        </w:tblCellMar>
      </w:tblPr>
      <w:tblGrid>
        <w:gridCol w:w="124"/>
        <w:gridCol w:w="256"/>
        <w:gridCol w:w="81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of our bottlers and/or co-packers to manufacture our products on a timely basis or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make suitable arrangements and/or procure sufficient capacity for the co-packing of any of our products both domestically and internationally, the timely replacement of discontinued co-packing arrangements and/or limitations on co-packing availability, including for retort production;</w:t>
            </w:r>
          </w:p>
        </w:tc>
      </w:tr>
    </w:tbl>
    <w:tbl>
      <w:tblPr>
        <w:tblW w:w="8676" w:type="dxa"/>
        <w:jc w:val="left"/>
        <w:tblInd w:w="0" w:type="dxa"/>
        <w:tblLayout w:type="fixed"/>
        <w:tblCellMar>
          <w:top w:w="28" w:type="dxa"/>
          <w:left w:w="28" w:type="dxa"/>
          <w:bottom w:w="28" w:type="dxa"/>
          <w:right w:w="28" w:type="dxa"/>
        </w:tblCellMar>
      </w:tblPr>
      <w:tblGrid>
        <w:gridCol w:w="124"/>
        <w:gridCol w:w="256"/>
        <w:gridCol w:w="82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make suitable arrangements for the timely procurement of non-defective raw materials;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protect and/or the loss of our intellectual property rights and/or our inability to use our trademarks, trade names or designs and/or trade dress in certain countries;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 of stock prices which may restrict stock sales, stock purchases or other opportunities as well as negatively impact the motivation of equity award grantees;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in our organizational documents and/or control by insiders which may prevent changes in control even if such changes would be beneficial to other stockholders;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disruption in and/or lack of effectiveness of our information technology systems, including a breach of cyber security, that disrupts our business or negatively impacts customer relationships, as well as cybersecurity incidents involving data shared with third parties;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Succession plans for and/or the recruitment and retention of senior management, other key employees and our employee base in general.</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foregoing list of important factors and other risks detailed from time to time in our reports filed with the SEC is not exhaustive. See the section entitled “Risk Factors” in our Form 10-K and in Item 1A of this Quarterly Report for a more complete discussion of these risks and uncertainties and for other risks and uncertainties. Those factors and the other risk factors described therein are not necessarily all of the important factors that could cause actual results or developments to differ materially from those expressed in any of our forward-looking statements. Other unknown or unpredictable factors also could harm our results. Consequently, our actual results could be materially different from the results described or anticipated by our forward-looking statements, due to the inherent uncertainty of estimates, forecasts and projections and may be better or worse than anticipated. Given these uncertainties, you should not rely on forward-looking statements. Forward-looking statements represent our estimates and assumptions only as of the date that they were made. We expressly disclaim any duty to provide updates to forward-looking statements, and the estimates and assumptions associated with them, after the date of this report, in order to reflect changes in circumstances or expectations or the occurrence of unanticipated events except to the extent required by applicable securities laws.</w:t>
      </w:r>
    </w:p>
    <w:p>
      <w:pPr>
        <w:pStyle w:val="TextBody"/>
        <w:bidi w:val="0"/>
        <w:spacing w:before="0" w:after="0"/>
        <w:ind w:left="0" w:right="0" w:hanging="0"/>
        <w:jc w:val="left"/>
        <w:rPr/>
      </w:pPr>
      <w:r>
        <w:rPr/>
        <w:t>​</w:t>
      </w:r>
    </w:p>
    <w:p>
      <w:pPr>
        <w:pStyle w:val="TextBody"/>
        <w:pBdr/>
        <w:bidi w:val="0"/>
        <w:spacing w:before="0" w:after="240"/>
        <w:ind w:left="0" w:right="0" w:hanging="1152"/>
        <w:jc w:val="both"/>
        <w:rPr>
          <w:rFonts w:ascii="Times New Roman;Times;serif" w:hAnsi="Times New Roman;Times;serif"/>
          <w:b/>
          <w:sz w:val="20"/>
        </w:rPr>
      </w:pPr>
      <w:bookmarkStart w:id="2062" w:name="ITEM3QUANTITATIVEANDQUALITATIVEDISCLOSUR"/>
      <w:bookmarkStart w:id="2063" w:name="_00a8d919_1c9a_4cd8_9a6a_8975960df75c"/>
      <w:bookmarkEnd w:id="2062"/>
      <w:bookmarkEnd w:id="2063"/>
      <w:r>
        <w:rPr>
          <w:rFonts w:ascii="Times New Roman;Times;serif" w:hAnsi="Times New Roman;Times;serif"/>
          <w:b/>
          <w:sz w:val="20"/>
        </w:rPr>
        <w:t>ITEM 3.    QUANTITATIVE AND QUALITATIVE DISCLOSURES ABOUT MARKET RISK</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There have been no material changes in our market risks during the three-months ended June 30, 2023 compared with the disclosures in Part II, Item 7A of our Form 10-K.</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064" w:name="ITEM4CONTROLSANDPROCEDURES_270637"/>
      <w:bookmarkStart w:id="2065" w:name="_586a9fd9_9cd6_409e_a4ec_0942aa788897"/>
      <w:bookmarkEnd w:id="2064"/>
      <w:bookmarkEnd w:id="2065"/>
      <w:r>
        <w:rPr>
          <w:rFonts w:ascii="Times New Roman;Times;serif" w:hAnsi="Times New Roman;Times;serif"/>
          <w:b/>
          <w:sz w:val="20"/>
        </w:rPr>
        <w:t>ITEM 4.    CONTROLS AND PROCEDURES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Evaluation of Disclosure Controls and Procedures</w:t>
      </w:r>
      <w:r>
        <w:rPr>
          <w:rFonts w:ascii="Times New Roman;Times;serif" w:hAnsi="Times New Roman;Times;serif"/>
          <w:sz w:val="20"/>
        </w:rPr>
        <w:t xml:space="preserve"> – Under the supervision and with the participation of the Company’s management, including our Co-Chief Executive Officers and Chief Financial Officer, we have evaluated the effectiveness of the design and operation of our disclosure controls and procedures (as defined in Rules 13(a)-15(e) and 15(d)-15(e) of the Exchange Act) as of the end of the period covered by this report. Based upon this evaluation, the Co-Chief Executive Officers and Chief Financial Officer have concluded that our disclosure controls and procedures are adequate and effective to ensure that information we are required to disclose in reports that we file or submit under the Exchange Act is (1) recorded, processed, summarized and reported within the time periods specified in rules and forms of the SEC and (2) accumulated and communicated to our management, including its principal executive and principal financial officers, as appropriate, to allow timely decisions regarding required disclosures.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Changes in Internal Control Over Financial Reporting</w:t>
      </w:r>
      <w:r>
        <w:rPr>
          <w:rFonts w:ascii="Times New Roman;Times;serif" w:hAnsi="Times New Roman;Times;serif"/>
          <w:sz w:val="20"/>
        </w:rPr>
        <w:t xml:space="preserve"> – There were no changes in the Company’s internal controls over financial reporting during the quarter ended June 30, 2023, that have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2066" w:name="PARTIIOTHERINFORMATION_669833"/>
      <w:bookmarkStart w:id="2067" w:name="_f0a83dd3_c3bd_4563_ab5b_9901b3c8a1ad"/>
      <w:bookmarkEnd w:id="2066"/>
      <w:bookmarkEnd w:id="2067"/>
      <w:r>
        <w:rPr>
          <w:rFonts w:ascii="Times New Roman;Times;serif" w:hAnsi="Times New Roman;Times;serif"/>
          <w:b/>
          <w:sz w:val="20"/>
        </w:rPr>
        <w:t>PART II - OTHER INFORMATION</w:t>
      </w:r>
    </w:p>
    <w:p>
      <w:pPr>
        <w:pStyle w:val="TextBody"/>
        <w:bidi w:val="0"/>
        <w:spacing w:before="0" w:after="240"/>
        <w:ind w:left="0" w:right="0" w:hanging="0"/>
        <w:jc w:val="left"/>
        <w:rPr>
          <w:rFonts w:ascii="Times New Roman;Times;serif" w:hAnsi="Times New Roman;Times;serif"/>
          <w:sz w:val="20"/>
        </w:rPr>
      </w:pPr>
      <w:bookmarkStart w:id="2068" w:name="ITEM1LEGALPROCEEDINGS_448899"/>
      <w:bookmarkEnd w:id="2068"/>
      <w:r>
        <w:rPr>
          <w:rFonts w:ascii="Times New Roman;Times;serif" w:hAnsi="Times New Roman;Times;serif"/>
          <w:b/>
          <w:i w:val="false"/>
          <w:caps w:val="false"/>
          <w:smallCaps w:val="false"/>
          <w:sz w:val="20"/>
        </w:rPr>
        <w:t>ITEM 1.</w:t>
      </w:r>
      <w:r>
        <w:rPr>
          <w:rFonts w:ascii="Times New Roman;Times;serif" w:hAnsi="Times New Roman;Times;serif"/>
          <w:b/>
          <w:sz w:val="20"/>
        </w:rPr>
        <w:t>LEGAL PROCEEDINGS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information required by this Item is incorporated herein by reference to the Notes to Condensed Consolidated Financial Statements - Note 11. Commitments and Contingencies: Litigation in Part I, Item 1, of this Quarterly Report on Form 10-Q.</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2069" w:name="ITEM1ARISKFACTORS_609704"/>
      <w:bookmarkStart w:id="2070" w:name="_4f34fce9_29c2_414a_adb9_b0eaeaca3358"/>
      <w:bookmarkEnd w:id="2069"/>
      <w:bookmarkEnd w:id="2070"/>
      <w:r>
        <w:rPr>
          <w:rFonts w:ascii="Times New Roman;Times;serif" w:hAnsi="Times New Roman;Times;serif"/>
          <w:b/>
          <w:i w:val="false"/>
          <w:caps w:val="false"/>
          <w:smallCaps w:val="false"/>
          <w:sz w:val="20"/>
        </w:rPr>
        <w:t>ITEM 1A.</w:t>
      </w:r>
      <w:r>
        <w:rPr>
          <w:rFonts w:ascii="Times New Roman;Times;serif" w:hAnsi="Times New Roman;Times;serif"/>
          <w:b/>
          <w:sz w:val="20"/>
        </w:rPr>
        <w:t>RISK FACTORS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addition to the other information set forth in this Quarterly Report on Form 10-Q, including Management’s Discussion and Analysis of Financial Condition and Results of Operations and the condensed consolidated financial statements and related notes, you should carefully consider the risks discussed in “Part I, Item 1A – Risk Factors” in our Form 10-K. If any of these risks occur or continue to occur, our business, reputation, financial condition and/or operating results could be materially adversely affected. We also note that the risk factors described in this report and our Form 10-K are not the only risks facing our Company, and such additional risks or uncertainties that we currently deem to be immaterial or are unknown to us could negatively impact our business, operations, or financial results.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071" w:name="ITEM2UNREGISTEREDSALESOFEQUITY_417570"/>
      <w:bookmarkStart w:id="2072" w:name="_d32caa89_8367_404a_9e63_365e65ed1f2e"/>
      <w:bookmarkStart w:id="2073" w:name="ITEM2UNREGISTEREDSALESOFEQUITY_417570"/>
      <w:bookmarkStart w:id="2074" w:name="_d32caa89_8367_404a_9e63_365e65ed1f2e"/>
      <w:bookmarkEnd w:id="2073"/>
      <w:bookmarkEnd w:id="2074"/>
    </w:p>
    <w:tbl>
      <w:tblPr>
        <w:tblW w:w="7817" w:type="dxa"/>
        <w:jc w:val="left"/>
        <w:tblInd w:w="0" w:type="dxa"/>
        <w:tblLayout w:type="fixed"/>
        <w:tblCellMar>
          <w:top w:w="0" w:type="dxa"/>
          <w:left w:w="0" w:type="dxa"/>
          <w:bottom w:w="0" w:type="dxa"/>
          <w:right w:w="0" w:type="dxa"/>
        </w:tblCellMar>
      </w:tblPr>
      <w:tblGrid>
        <w:gridCol w:w="841"/>
        <w:gridCol w:w="6976"/>
      </w:tblGrid>
      <w:tr>
        <w:trPr/>
        <w:tc>
          <w:tcPr>
            <w:tcW w:w="8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2.</w:t>
            </w:r>
          </w:p>
        </w:tc>
        <w:tc>
          <w:tcPr>
            <w:tcW w:w="69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UNREGISTERED SALES OF EQUITY SECURITIES AND USE OF PROCEEDS</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June 14, 2022, the Company’s Board of Directors authorized a share repurchase program for the purchase of up to $500.0 million of the Company’s outstanding common stock (the “June 2022 Repurchase Plan”). During the three-months ended June 30,2023, no shares were repurchased under the June 2022 Repurchase Plan. As of August 4, 2023, $182.8 million remained available for repurchase under the June 2022 Repurchase Plan.</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November 2, 2022, the Company’s Board of Directors authorized a share repurchase program for the purchase of up to an additional $500.0 million of the Company’s outstanding common stock (the “November 2022 Repurchase Plan”). During the three-months ended June 30,2023, no shares were repurchased under the November 2022 Repurchase Plan. As of August 4, 2023, $500.0 million remained available for repurchase under the November 2022 Repurchase Plan.</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aggregate amount of the Company’s outstanding common stock that remains available for repurchase under all previously authorized repurchase plans is $682.8 million as of August 4, 2023.</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During the three-months ended June 30,2023, 7,579 shares of common stock were purchased from employees in lieu of cash payments for options exercised or withholding taxes due for a total amount of $0.4 million. While such purchases are considered common stock repurchases, they are not counted as purchases against the Company’s authorized share repurchase programs. Such shares are included in common stock in treasury in the accompanying consolidated balance sheet at June 30, 2023.</w:t>
      </w:r>
    </w:p>
    <w:p>
      <w:pPr>
        <w:pStyle w:val="TextBody"/>
        <w:bidi w:val="0"/>
        <w:spacing w:before="0" w:after="0"/>
        <w:ind w:left="0" w:right="0" w:firstLine="720"/>
        <w:jc w:val="both"/>
        <w:rPr/>
      </w:pPr>
      <w:r>
        <w:rPr/>
        <w:t>​</w:t>
      </w:r>
    </w:p>
    <w:p>
      <w:pPr>
        <w:pStyle w:val="TextBody"/>
        <w:bidi w:val="0"/>
        <w:spacing w:before="0" w:after="240"/>
        <w:ind w:left="0" w:right="0" w:hanging="0"/>
        <w:jc w:val="left"/>
        <w:rPr>
          <w:rFonts w:ascii="Times New Roman;Times;serif" w:hAnsi="Times New Roman;Times;serif"/>
          <w:sz w:val="20"/>
        </w:rPr>
      </w:pPr>
      <w:bookmarkStart w:id="2075" w:name="ITEM3DEFAULTSUPONSENIORSECURITIES_753663"/>
      <w:bookmarkStart w:id="2076" w:name="_bcbc6806_3ec4_4345_a1ad_24c3cc9aafa3"/>
      <w:bookmarkEnd w:id="2075"/>
      <w:bookmarkEnd w:id="2076"/>
      <w:r>
        <w:rPr>
          <w:rFonts w:ascii="Times New Roman;Times;serif" w:hAnsi="Times New Roman;Times;serif"/>
          <w:b/>
          <w:i w:val="false"/>
          <w:caps w:val="false"/>
          <w:smallCaps w:val="false"/>
          <w:sz w:val="20"/>
        </w:rPr>
        <w:t>ITEM 3.</w:t>
      </w:r>
      <w:r>
        <w:rPr>
          <w:rFonts w:ascii="Times New Roman;Times;serif" w:hAnsi="Times New Roman;Times;serif"/>
          <w:b/>
          <w:sz w:val="20"/>
        </w:rPr>
        <w:t>DEFAULTS UPON SENIOR SECURITIES</w:t>
      </w:r>
    </w:p>
    <w:p>
      <w:pPr>
        <w:pStyle w:val="TextBody"/>
        <w:bidi w:val="0"/>
        <w:spacing w:before="0" w:after="0"/>
        <w:ind w:left="0" w:right="0" w:firstLine="726"/>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2077" w:name="ITEM4MINESAFETYDISCLOSURES_417702"/>
      <w:bookmarkStart w:id="2078" w:name="_9c65b504_b4eb_4c93_a11a_74bcac51e398"/>
      <w:bookmarkEnd w:id="2077"/>
      <w:bookmarkEnd w:id="2078"/>
      <w:r>
        <w:rPr>
          <w:rFonts w:ascii="Times New Roman;Times;serif" w:hAnsi="Times New Roman;Times;serif"/>
          <w:b/>
          <w:i w:val="false"/>
          <w:caps w:val="false"/>
          <w:smallCaps w:val="false"/>
          <w:sz w:val="20"/>
        </w:rPr>
        <w:t>ITEM 4.</w:t>
      </w:r>
      <w:r>
        <w:rPr>
          <w:rFonts w:ascii="Times New Roman;Times;serif" w:hAnsi="Times New Roman;Times;serif"/>
          <w:b/>
          <w:sz w:val="20"/>
        </w:rPr>
        <w:t>MINE SAFETY DISCLOSURES</w:t>
      </w:r>
    </w:p>
    <w:p>
      <w:pPr>
        <w:pStyle w:val="TextBody"/>
        <w:bidi w:val="0"/>
        <w:spacing w:before="0" w:after="0"/>
        <w:ind w:left="0" w:right="0" w:firstLine="726"/>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2079" w:name="ITEM5OTHERINFORMATION_353440"/>
      <w:bookmarkStart w:id="2080" w:name="_9d28dc98_3e1c_441c_97a9_0c89e974adf7"/>
      <w:bookmarkEnd w:id="2079"/>
      <w:bookmarkEnd w:id="2080"/>
      <w:r>
        <w:rPr>
          <w:rFonts w:ascii="Times New Roman;Times;serif" w:hAnsi="Times New Roman;Times;serif"/>
          <w:b/>
          <w:i w:val="false"/>
          <w:caps w:val="false"/>
          <w:smallCaps w:val="false"/>
          <w:sz w:val="20"/>
        </w:rPr>
        <w:t>ITEM 5.</w:t>
      </w:r>
      <w:r>
        <w:rPr>
          <w:rFonts w:ascii="Times New Roman;Times;serif" w:hAnsi="Times New Roman;Times;serif"/>
          <w:b/>
          <w:sz w:val="20"/>
        </w:rPr>
        <w:t>OTHER INFORMATION</w:t>
      </w:r>
    </w:p>
    <w:p>
      <w:pPr>
        <w:pStyle w:val="TextBody"/>
        <w:bidi w:val="0"/>
        <w:spacing w:before="0" w:after="0"/>
        <w:ind w:left="0" w:right="0" w:firstLine="726"/>
        <w:jc w:val="both"/>
        <w:rPr>
          <w:rFonts w:ascii="Times New Roman;Times;serif" w:hAnsi="Times New Roman;Times;serif"/>
          <w:sz w:val="20"/>
        </w:rPr>
      </w:pPr>
      <w:r>
        <w:rPr>
          <w:rFonts w:ascii="Times New Roman;Times;serif" w:hAnsi="Times New Roman;Times;serif"/>
          <w:sz w:val="20"/>
        </w:rPr>
        <w:t>During the three-months ended June 30, 2023, none of the Company’s directors or officers adopted, modified or terminated a Rule 10b5-1 trading arrangement or a non-Rule 10b5-1 trading arrangement (each as defined in Item 408 of Regulation S-K under the Securities Exchange Act of 1934, as amended).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2081" w:name="ITEM6EXHIBITS_20622"/>
      <w:bookmarkStart w:id="2082" w:name="_042cccbb_3652_47a2_bf3f_36364ad4106c"/>
      <w:bookmarkEnd w:id="2081"/>
      <w:bookmarkEnd w:id="2082"/>
      <w:r>
        <w:rPr>
          <w:rFonts w:ascii="Times New Roman;Times;serif" w:hAnsi="Times New Roman;Times;serif"/>
          <w:b/>
          <w:i w:val="false"/>
          <w:caps w:val="false"/>
          <w:smallCaps w:val="false"/>
          <w:sz w:val="20"/>
        </w:rPr>
        <w:t>ITEM 6.</w:t>
      </w:r>
      <w:r>
        <w:rPr>
          <w:rFonts w:ascii="Times New Roman;Times;serif" w:hAnsi="Times New Roman;Times;serif"/>
          <w:b/>
          <w:sz w:val="20"/>
        </w:rPr>
        <w:t>EXHIBITS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93"/>
        <w:gridCol w:w="266"/>
        <w:gridCol w:w="9446"/>
      </w:tblGrid>
      <w:tr>
        <w:trPr/>
        <w:tc>
          <w:tcPr>
            <w:tcW w:w="493"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9446" w:type="dxa"/>
            <w:tcBorders/>
            <w:vAlign w:val="center"/>
          </w:tcPr>
          <w:p>
            <w:pPr>
              <w:pStyle w:val="TableContents"/>
              <w:bidi w:val="0"/>
              <w:spacing w:before="0" w:after="0"/>
              <w:ind w:left="0" w:right="0" w:hanging="0"/>
              <w:jc w:val="left"/>
              <w:rPr/>
            </w:pPr>
            <w:r>
              <w:rPr/>
              <w:t>​</w:t>
            </w:r>
          </w:p>
        </w:tc>
      </w:tr>
      <w:tr>
        <w:trPr/>
        <w:tc>
          <w:tcPr>
            <w:tcW w:w="49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266" w:type="dxa"/>
            <w:tcBorders/>
            <w:vAlign w:val="center"/>
          </w:tcPr>
          <w:p>
            <w:pPr>
              <w:pStyle w:val="TableContents"/>
              <w:bidi w:val="0"/>
              <w:spacing w:before="0" w:after="0"/>
              <w:ind w:left="0" w:right="0" w:hanging="0"/>
              <w:jc w:val="both"/>
              <w:rPr/>
            </w:pPr>
            <w:r>
              <w:rPr/>
              <w:t>​</w:t>
            </w:r>
          </w:p>
        </w:tc>
        <w:tc>
          <w:tcPr>
            <w:tcW w:w="9446" w:type="dxa"/>
            <w:tcBorders/>
            <w:vAlign w:val="center"/>
          </w:tcPr>
          <w:p>
            <w:pPr>
              <w:pStyle w:val="TableContents"/>
              <w:bidi w:val="0"/>
              <w:spacing w:before="0" w:after="0"/>
              <w:ind w:left="0" w:right="0" w:hanging="0"/>
              <w:jc w:val="both"/>
              <w:rPr/>
            </w:pPr>
            <w:hyperlink r:id="rId2">
              <w:r>
                <w:rPr>
                  <w:rStyle w:val="InternetLink"/>
                  <w:rFonts w:ascii="Times New Roman;Times;serif" w:hAnsi="Times New Roman;Times;serif"/>
                  <w:b w:val="false"/>
                  <w:i w:val="false"/>
                  <w:caps w:val="false"/>
                  <w:smallCaps w:val="false"/>
                  <w:sz w:val="20"/>
                </w:rPr>
                <w:t>Second Amended and Restated Certificate of Incorporation of the Company (incorporated by reference to Exhibit 3.1 to our Form 8-K dated June 27, 2023).</w:t>
              </w:r>
            </w:hyperlink>
          </w:p>
        </w:tc>
      </w:tr>
      <w:tr>
        <w:trPr/>
        <w:tc>
          <w:tcPr>
            <w:tcW w:w="493" w:type="dxa"/>
            <w:tcBorders/>
            <w:vAlign w:val="center"/>
          </w:tcPr>
          <w:p>
            <w:pPr>
              <w:pStyle w:val="TableContents"/>
              <w:pBdr/>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both"/>
              <w:rPr/>
            </w:pPr>
            <w:r>
              <w:rPr/>
              <w:t>​</w:t>
            </w:r>
          </w:p>
        </w:tc>
        <w:tc>
          <w:tcPr>
            <w:tcW w:w="9446" w:type="dxa"/>
            <w:tcBorders/>
            <w:vAlign w:val="center"/>
          </w:tcPr>
          <w:p>
            <w:pPr>
              <w:pStyle w:val="TableContents"/>
              <w:bidi w:val="0"/>
              <w:spacing w:before="0" w:after="0"/>
              <w:ind w:left="0" w:right="0" w:hanging="0"/>
              <w:jc w:val="both"/>
              <w:rPr/>
            </w:pPr>
            <w:r>
              <w:rPr/>
              <w:t>​</w:t>
            </w:r>
          </w:p>
        </w:tc>
      </w:tr>
      <w:tr>
        <w:trPr/>
        <w:tc>
          <w:tcPr>
            <w:tcW w:w="49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266" w:type="dxa"/>
            <w:tcBorders/>
            <w:vAlign w:val="center"/>
          </w:tcPr>
          <w:p>
            <w:pPr>
              <w:pStyle w:val="TableContents"/>
              <w:bidi w:val="0"/>
              <w:spacing w:before="0" w:after="0"/>
              <w:ind w:left="0" w:right="0" w:hanging="0"/>
              <w:jc w:val="both"/>
              <w:rPr/>
            </w:pPr>
            <w:r>
              <w:rPr/>
              <w:t>​</w:t>
            </w:r>
          </w:p>
        </w:tc>
        <w:tc>
          <w:tcPr>
            <w:tcW w:w="9446" w:type="dxa"/>
            <w:tcBorders/>
            <w:vAlign w:val="center"/>
          </w:tcPr>
          <w:p>
            <w:pPr>
              <w:pStyle w:val="TableContents"/>
              <w:bidi w:val="0"/>
              <w:spacing w:before="0" w:after="0"/>
              <w:ind w:left="0" w:right="0" w:hanging="0"/>
              <w:jc w:val="both"/>
              <w:rPr/>
            </w:pPr>
            <w:hyperlink r:id="rId3">
              <w:r>
                <w:rPr>
                  <w:rStyle w:val="InternetLink"/>
                  <w:rFonts w:ascii="Times New Roman;Times;serif" w:hAnsi="Times New Roman;Times;serif"/>
                  <w:b w:val="false"/>
                  <w:i w:val="false"/>
                  <w:caps w:val="false"/>
                  <w:smallCaps w:val="false"/>
                  <w:sz w:val="20"/>
                </w:rPr>
                <w:t>Third Amended and Restated By-laws of the Company (incorporated by reference to Exhibit 3.2 to our Form 8-K dated June 27, 2023).</w:t>
              </w:r>
            </w:hyperlink>
          </w:p>
        </w:tc>
      </w:tr>
      <w:tr>
        <w:trPr/>
        <w:tc>
          <w:tcPr>
            <w:tcW w:w="493" w:type="dxa"/>
            <w:tcBorders/>
            <w:vAlign w:val="center"/>
          </w:tcPr>
          <w:p>
            <w:pPr>
              <w:pStyle w:val="TableContents"/>
              <w:pBdr/>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both"/>
              <w:rPr/>
            </w:pPr>
            <w:r>
              <w:rPr/>
              <w:t>​</w:t>
            </w:r>
          </w:p>
        </w:tc>
        <w:tc>
          <w:tcPr>
            <w:tcW w:w="9446" w:type="dxa"/>
            <w:tcBorders/>
            <w:vAlign w:val="center"/>
          </w:tcPr>
          <w:p>
            <w:pPr>
              <w:pStyle w:val="TableContents"/>
              <w:bidi w:val="0"/>
              <w:spacing w:before="0" w:after="0"/>
              <w:ind w:left="0" w:right="0" w:hanging="0"/>
              <w:jc w:val="both"/>
              <w:rPr/>
            </w:pPr>
            <w:r>
              <w:rPr/>
              <w:t>​</w:t>
            </w:r>
          </w:p>
        </w:tc>
      </w:tr>
      <w:tr>
        <w:trPr/>
        <w:tc>
          <w:tcPr>
            <w:tcW w:w="49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266" w:type="dxa"/>
            <w:tcBorders/>
            <w:vAlign w:val="center"/>
          </w:tcPr>
          <w:p>
            <w:pPr>
              <w:pStyle w:val="TableContents"/>
              <w:bidi w:val="0"/>
              <w:spacing w:before="0" w:after="0"/>
              <w:ind w:left="0" w:right="0" w:hanging="0"/>
              <w:jc w:val="both"/>
              <w:rPr/>
            </w:pPr>
            <w:r>
              <w:rPr/>
              <w:t>   </w:t>
            </w:r>
          </w:p>
        </w:tc>
        <w:tc>
          <w:tcPr>
            <w:tcW w:w="9446" w:type="dxa"/>
            <w:tcBorders/>
            <w:vAlign w:val="center"/>
          </w:tcPr>
          <w:p>
            <w:pPr>
              <w:pStyle w:val="TableContents"/>
              <w:bidi w:val="0"/>
              <w:spacing w:before="0" w:after="0"/>
              <w:ind w:left="0" w:right="0" w:hanging="0"/>
              <w:jc w:val="both"/>
              <w:rPr/>
            </w:pPr>
            <w:hyperlink w:anchor="mnst-20230630xex31d1.htm">
              <w:r>
                <w:rPr>
                  <w:rStyle w:val="InternetLink"/>
                  <w:rFonts w:ascii="Times New Roman;Times;serif" w:hAnsi="Times New Roman;Times;serif"/>
                  <w:b w:val="false"/>
                  <w:i w:val="false"/>
                  <w:caps w:val="false"/>
                  <w:smallCaps w:val="false"/>
                  <w:sz w:val="20"/>
                </w:rPr>
                <w:t>Certification by Co-Chief Executive Officer pursuant to Rule 13A-14(a) or 15D-14(a) of the Securities Exchange Act of 1934, as adopted pursuant to Section 302 of the Sarbanes-Oxley Act of 2002</w:t>
              </w:r>
            </w:hyperlink>
          </w:p>
        </w:tc>
      </w:tr>
      <w:tr>
        <w:trPr/>
        <w:tc>
          <w:tcPr>
            <w:tcW w:w="493"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both"/>
              <w:rPr/>
            </w:pPr>
            <w:r>
              <w:rPr/>
              <w:t>​</w:t>
            </w:r>
          </w:p>
        </w:tc>
        <w:tc>
          <w:tcPr>
            <w:tcW w:w="9446" w:type="dxa"/>
            <w:tcBorders/>
            <w:vAlign w:val="center"/>
          </w:tcPr>
          <w:p>
            <w:pPr>
              <w:pStyle w:val="TableContents"/>
              <w:bidi w:val="0"/>
              <w:spacing w:before="0" w:after="0"/>
              <w:ind w:left="0" w:right="0" w:hanging="0"/>
              <w:jc w:val="both"/>
              <w:rPr/>
            </w:pPr>
            <w:r>
              <w:rPr/>
              <w:t>​</w:t>
            </w:r>
          </w:p>
        </w:tc>
      </w:tr>
      <w:tr>
        <w:trPr/>
        <w:tc>
          <w:tcPr>
            <w:tcW w:w="49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266" w:type="dxa"/>
            <w:tcBorders/>
            <w:vAlign w:val="center"/>
          </w:tcPr>
          <w:p>
            <w:pPr>
              <w:pStyle w:val="TableContents"/>
              <w:bidi w:val="0"/>
              <w:spacing w:before="0" w:after="0"/>
              <w:ind w:left="0" w:right="0" w:hanging="0"/>
              <w:jc w:val="left"/>
              <w:rPr/>
            </w:pPr>
            <w:r>
              <w:rPr/>
              <w:t>​</w:t>
            </w:r>
          </w:p>
        </w:tc>
        <w:tc>
          <w:tcPr>
            <w:tcW w:w="9446" w:type="dxa"/>
            <w:tcBorders/>
            <w:vAlign w:val="center"/>
          </w:tcPr>
          <w:p>
            <w:pPr>
              <w:pStyle w:val="TableContents"/>
              <w:bidi w:val="0"/>
              <w:spacing w:before="0" w:after="0"/>
              <w:ind w:left="0" w:right="0" w:hanging="0"/>
              <w:jc w:val="left"/>
              <w:rPr/>
            </w:pPr>
            <w:hyperlink w:anchor="mnst-20230630xex31d2.htm">
              <w:r>
                <w:rPr>
                  <w:rStyle w:val="InternetLink"/>
                  <w:rFonts w:ascii="Times New Roman;Times;serif" w:hAnsi="Times New Roman;Times;serif"/>
                  <w:b w:val="false"/>
                  <w:i w:val="false"/>
                  <w:caps w:val="false"/>
                  <w:smallCaps w:val="false"/>
                  <w:sz w:val="20"/>
                </w:rPr>
                <w:t>Certification by Co-Chief Executive Officer pursuant to Rule 13A-14(a) or 15D-14(a) of the Securities Exchange Act of 1934, as adopted pursuant to Section 302 of the Sarbanes-Oxley Act of 2002</w:t>
              </w:r>
            </w:hyperlink>
          </w:p>
        </w:tc>
      </w:tr>
      <w:tr>
        <w:trPr/>
        <w:tc>
          <w:tcPr>
            <w:tcW w:w="493"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both"/>
              <w:rPr/>
            </w:pPr>
            <w:r>
              <w:rPr/>
              <w:t>​</w:t>
            </w:r>
          </w:p>
        </w:tc>
        <w:tc>
          <w:tcPr>
            <w:tcW w:w="9446" w:type="dxa"/>
            <w:tcBorders/>
            <w:vAlign w:val="center"/>
          </w:tcPr>
          <w:p>
            <w:pPr>
              <w:pStyle w:val="TableContents"/>
              <w:bidi w:val="0"/>
              <w:spacing w:before="0" w:after="0"/>
              <w:ind w:left="0" w:right="0" w:hanging="0"/>
              <w:jc w:val="both"/>
              <w:rPr/>
            </w:pPr>
            <w:r>
              <w:rPr/>
              <w:t>​</w:t>
            </w:r>
          </w:p>
        </w:tc>
      </w:tr>
      <w:tr>
        <w:trPr/>
        <w:tc>
          <w:tcPr>
            <w:tcW w:w="49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31.3*</w:t>
            </w:r>
          </w:p>
        </w:tc>
        <w:tc>
          <w:tcPr>
            <w:tcW w:w="266" w:type="dxa"/>
            <w:tcBorders/>
            <w:vAlign w:val="center"/>
          </w:tcPr>
          <w:p>
            <w:pPr>
              <w:pStyle w:val="TableContents"/>
              <w:bidi w:val="0"/>
              <w:spacing w:before="0" w:after="0"/>
              <w:ind w:left="0" w:right="0" w:hanging="0"/>
              <w:jc w:val="both"/>
              <w:rPr/>
            </w:pPr>
            <w:r>
              <w:rPr/>
              <w:t>​</w:t>
            </w:r>
          </w:p>
        </w:tc>
        <w:tc>
          <w:tcPr>
            <w:tcW w:w="9446" w:type="dxa"/>
            <w:tcBorders/>
            <w:vAlign w:val="center"/>
          </w:tcPr>
          <w:p>
            <w:pPr>
              <w:pStyle w:val="TableContents"/>
              <w:bidi w:val="0"/>
              <w:spacing w:before="0" w:after="0"/>
              <w:ind w:left="0" w:right="0" w:hanging="0"/>
              <w:jc w:val="both"/>
              <w:rPr/>
            </w:pPr>
            <w:hyperlink w:anchor="mnst-20230630xex31d3.htm">
              <w:r>
                <w:rPr>
                  <w:rStyle w:val="InternetLink"/>
                  <w:rFonts w:ascii="Times New Roman;Times;serif" w:hAnsi="Times New Roman;Times;serif"/>
                  <w:b w:val="false"/>
                  <w:i w:val="false"/>
                  <w:caps w:val="false"/>
                  <w:smallCaps w:val="false"/>
                  <w:sz w:val="20"/>
                </w:rPr>
                <w:t>Certification by Chief Financial Officer pursuant to Rule 13A-14(a) or 15D-14(a) of the Securities Exchange Act of 1934, as adopted pursuant to Section 302 of the Sarbanes-Oxley Act of 2002</w:t>
              </w:r>
            </w:hyperlink>
          </w:p>
        </w:tc>
      </w:tr>
      <w:tr>
        <w:trPr/>
        <w:tc>
          <w:tcPr>
            <w:tcW w:w="493"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both"/>
              <w:rPr/>
            </w:pPr>
            <w:r>
              <w:rPr/>
              <w:t>​</w:t>
            </w:r>
          </w:p>
        </w:tc>
        <w:tc>
          <w:tcPr>
            <w:tcW w:w="9446" w:type="dxa"/>
            <w:tcBorders/>
            <w:vAlign w:val="center"/>
          </w:tcPr>
          <w:p>
            <w:pPr>
              <w:pStyle w:val="TableContents"/>
              <w:bidi w:val="0"/>
              <w:spacing w:before="0" w:after="0"/>
              <w:ind w:left="0" w:right="0" w:hanging="0"/>
              <w:jc w:val="both"/>
              <w:rPr/>
            </w:pPr>
            <w:r>
              <w:rPr/>
              <w:t>​</w:t>
            </w:r>
          </w:p>
        </w:tc>
      </w:tr>
      <w:tr>
        <w:trPr/>
        <w:tc>
          <w:tcPr>
            <w:tcW w:w="49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266" w:type="dxa"/>
            <w:tcBorders/>
            <w:vAlign w:val="center"/>
          </w:tcPr>
          <w:p>
            <w:pPr>
              <w:pStyle w:val="TableContents"/>
              <w:bidi w:val="0"/>
              <w:spacing w:before="0" w:after="0"/>
              <w:ind w:left="0" w:right="0" w:hanging="0"/>
              <w:jc w:val="both"/>
              <w:rPr/>
            </w:pPr>
            <w:r>
              <w:rPr/>
              <w:t>​</w:t>
            </w:r>
          </w:p>
        </w:tc>
        <w:tc>
          <w:tcPr>
            <w:tcW w:w="9446" w:type="dxa"/>
            <w:tcBorders/>
            <w:vAlign w:val="center"/>
          </w:tcPr>
          <w:p>
            <w:pPr>
              <w:pStyle w:val="TableContents"/>
              <w:bidi w:val="0"/>
              <w:spacing w:before="0" w:after="0"/>
              <w:ind w:left="0" w:right="0" w:hanging="0"/>
              <w:jc w:val="both"/>
              <w:rPr/>
            </w:pPr>
            <w:hyperlink w:anchor="mnst-20230630xex32d1.htm">
              <w:r>
                <w:rPr>
                  <w:rStyle w:val="InternetLink"/>
                  <w:rFonts w:ascii="Times New Roman;Times;serif" w:hAnsi="Times New Roman;Times;serif"/>
                  <w:b w:val="false"/>
                  <w:i w:val="false"/>
                  <w:caps w:val="false"/>
                  <w:smallCaps w:val="false"/>
                  <w:sz w:val="20"/>
                </w:rPr>
                <w:t>Certification by Co-Chief Executive Officer pursuant to 18 U.S.C. Section 1350, as adopted pursuant to Section 906 of the Sarbanes-Oxley Act of 2002</w:t>
              </w:r>
            </w:hyperlink>
          </w:p>
        </w:tc>
      </w:tr>
      <w:tr>
        <w:trPr/>
        <w:tc>
          <w:tcPr>
            <w:tcW w:w="493"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both"/>
              <w:rPr/>
            </w:pPr>
            <w:r>
              <w:rPr/>
              <w:t>​</w:t>
            </w:r>
          </w:p>
        </w:tc>
        <w:tc>
          <w:tcPr>
            <w:tcW w:w="9446" w:type="dxa"/>
            <w:tcBorders/>
            <w:vAlign w:val="center"/>
          </w:tcPr>
          <w:p>
            <w:pPr>
              <w:pStyle w:val="TableContents"/>
              <w:bidi w:val="0"/>
              <w:spacing w:before="0" w:after="0"/>
              <w:ind w:left="0" w:right="0" w:hanging="0"/>
              <w:jc w:val="both"/>
              <w:rPr/>
            </w:pPr>
            <w:r>
              <w:rPr/>
              <w:t>​</w:t>
            </w:r>
          </w:p>
        </w:tc>
      </w:tr>
      <w:tr>
        <w:trPr/>
        <w:tc>
          <w:tcPr>
            <w:tcW w:w="49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266" w:type="dxa"/>
            <w:tcBorders/>
            <w:vAlign w:val="center"/>
          </w:tcPr>
          <w:p>
            <w:pPr>
              <w:pStyle w:val="TableContents"/>
              <w:bidi w:val="0"/>
              <w:spacing w:before="0" w:after="0"/>
              <w:ind w:left="0" w:right="0" w:hanging="0"/>
              <w:jc w:val="both"/>
              <w:rPr/>
            </w:pPr>
            <w:r>
              <w:rPr/>
              <w:t>​</w:t>
            </w:r>
          </w:p>
        </w:tc>
        <w:tc>
          <w:tcPr>
            <w:tcW w:w="9446" w:type="dxa"/>
            <w:tcBorders/>
            <w:vAlign w:val="center"/>
          </w:tcPr>
          <w:p>
            <w:pPr>
              <w:pStyle w:val="TableContents"/>
              <w:bidi w:val="0"/>
              <w:spacing w:before="0" w:after="0"/>
              <w:ind w:left="0" w:right="0" w:hanging="0"/>
              <w:jc w:val="both"/>
              <w:rPr/>
            </w:pPr>
            <w:hyperlink w:anchor="mnst-20230630xex32d2.htm">
              <w:r>
                <w:rPr>
                  <w:rStyle w:val="InternetLink"/>
                  <w:rFonts w:ascii="Times New Roman;Times;serif" w:hAnsi="Times New Roman;Times;serif"/>
                  <w:b w:val="false"/>
                  <w:i w:val="false"/>
                  <w:caps w:val="false"/>
                  <w:smallCaps w:val="false"/>
                  <w:sz w:val="20"/>
                </w:rPr>
                <w:t>Certification by Co-Chief Executive Officer pursuant to 18 U.S.C. Section 1350, as adopted pursuant to Section 906 of the Sarbanes-Oxley Act of 2002</w:t>
              </w:r>
            </w:hyperlink>
          </w:p>
        </w:tc>
      </w:tr>
      <w:tr>
        <w:trPr/>
        <w:tc>
          <w:tcPr>
            <w:tcW w:w="493"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both"/>
              <w:rPr/>
            </w:pPr>
            <w:r>
              <w:rPr/>
              <w:t>​</w:t>
            </w:r>
          </w:p>
        </w:tc>
        <w:tc>
          <w:tcPr>
            <w:tcW w:w="9446" w:type="dxa"/>
            <w:tcBorders/>
            <w:vAlign w:val="center"/>
          </w:tcPr>
          <w:p>
            <w:pPr>
              <w:pStyle w:val="TableContents"/>
              <w:bidi w:val="0"/>
              <w:spacing w:before="0" w:after="0"/>
              <w:ind w:left="0" w:right="0" w:hanging="0"/>
              <w:jc w:val="both"/>
              <w:rPr/>
            </w:pPr>
            <w:r>
              <w:rPr/>
              <w:t>​</w:t>
            </w:r>
          </w:p>
        </w:tc>
      </w:tr>
      <w:tr>
        <w:trPr/>
        <w:tc>
          <w:tcPr>
            <w:tcW w:w="49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32.3*</w:t>
            </w:r>
          </w:p>
        </w:tc>
        <w:tc>
          <w:tcPr>
            <w:tcW w:w="266" w:type="dxa"/>
            <w:tcBorders/>
            <w:vAlign w:val="center"/>
          </w:tcPr>
          <w:p>
            <w:pPr>
              <w:pStyle w:val="TableContents"/>
              <w:bidi w:val="0"/>
              <w:spacing w:before="0" w:after="0"/>
              <w:ind w:left="0" w:right="0" w:hanging="0"/>
              <w:jc w:val="both"/>
              <w:rPr/>
            </w:pPr>
            <w:r>
              <w:rPr/>
              <w:t>​</w:t>
            </w:r>
          </w:p>
        </w:tc>
        <w:tc>
          <w:tcPr>
            <w:tcW w:w="9446" w:type="dxa"/>
            <w:tcBorders/>
            <w:vAlign w:val="center"/>
          </w:tcPr>
          <w:p>
            <w:pPr>
              <w:pStyle w:val="TableContents"/>
              <w:bidi w:val="0"/>
              <w:spacing w:before="0" w:after="0"/>
              <w:ind w:left="0" w:right="0" w:hanging="0"/>
              <w:jc w:val="both"/>
              <w:rPr/>
            </w:pPr>
            <w:hyperlink w:anchor="mnst-20230630xex32d3.htm">
              <w:r>
                <w:rPr>
                  <w:rStyle w:val="InternetLink"/>
                  <w:rFonts w:ascii="Times New Roman;Times;serif" w:hAnsi="Times New Roman;Times;serif"/>
                  <w:b w:val="false"/>
                  <w:i w:val="false"/>
                  <w:caps w:val="false"/>
                  <w:smallCaps w:val="false"/>
                  <w:sz w:val="20"/>
                </w:rPr>
                <w:t>Certification by Chief Financial Officer pursuant to 18 U.S.C. Section 1350, as adopted pursuant to Section 906 of the Sarbanes-Oxley Act of 2002</w:t>
              </w:r>
            </w:hyperlink>
          </w:p>
        </w:tc>
      </w:tr>
      <w:tr>
        <w:trPr/>
        <w:tc>
          <w:tcPr>
            <w:tcW w:w="493"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both"/>
              <w:rPr/>
            </w:pPr>
            <w:r>
              <w:rPr/>
              <w:t>​</w:t>
            </w:r>
          </w:p>
        </w:tc>
        <w:tc>
          <w:tcPr>
            <w:tcW w:w="9446" w:type="dxa"/>
            <w:tcBorders/>
            <w:vAlign w:val="center"/>
          </w:tcPr>
          <w:p>
            <w:pPr>
              <w:pStyle w:val="TableContents"/>
              <w:bidi w:val="0"/>
              <w:spacing w:before="0" w:after="0"/>
              <w:ind w:left="0" w:right="0" w:hanging="0"/>
              <w:jc w:val="both"/>
              <w:rPr/>
            </w:pPr>
            <w:r>
              <w:rPr/>
              <w:t>​</w:t>
            </w:r>
          </w:p>
        </w:tc>
      </w:tr>
      <w:tr>
        <w:trPr/>
        <w:tc>
          <w:tcPr>
            <w:tcW w:w="49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266" w:type="dxa"/>
            <w:tcBorders/>
            <w:vAlign w:val="center"/>
          </w:tcPr>
          <w:p>
            <w:pPr>
              <w:pStyle w:val="TableContents"/>
              <w:bidi w:val="0"/>
              <w:spacing w:before="0" w:after="0"/>
              <w:ind w:left="0" w:right="0" w:hanging="0"/>
              <w:jc w:val="both"/>
              <w:rPr/>
            </w:pPr>
            <w:r>
              <w:rPr/>
              <w:t>​</w:t>
            </w:r>
          </w:p>
        </w:tc>
        <w:tc>
          <w:tcPr>
            <w:tcW w:w="94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financial information from Monster Beverage Corporation’s Quarterly Report on Form 10-Q for the quarter ended June 30, 2023, formatted in iXBRL (Inline eXtensible Business Reporting Language): (i) Condensed Consolidated Balance Sheets as of June 30, 2023 and December 31, 2022, (ii) Condensed Consolidated Statements of Income for the three- and six-months ended June 30, 2023 and 2022, (iii) Condensed Consolidated Statements of Comprehensive Income for the three- and six-months ended June 30, 2023 and 2022, (iv) Condensed Consolidated Statements of Stockholders’ Equity for the three- and six-months ended June 30, 2023 and 2022, (v) Condensed Consolidated Statements of Cash Flows for the six-months ended June 30, 2023 and 2022, and (vi) the Notes to Condensed Consolidated Financial Statements.</w:t>
            </w:r>
          </w:p>
        </w:tc>
      </w:tr>
      <w:tr>
        <w:trPr/>
        <w:tc>
          <w:tcPr>
            <w:tcW w:w="493"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both"/>
              <w:rPr/>
            </w:pPr>
            <w:r>
              <w:rPr/>
              <w:t>​</w:t>
            </w:r>
          </w:p>
        </w:tc>
        <w:tc>
          <w:tcPr>
            <w:tcW w:w="9446" w:type="dxa"/>
            <w:tcBorders/>
            <w:vAlign w:val="center"/>
          </w:tcPr>
          <w:p>
            <w:pPr>
              <w:pStyle w:val="TableContents"/>
              <w:bidi w:val="0"/>
              <w:spacing w:before="0" w:after="0"/>
              <w:ind w:left="0" w:right="0" w:hanging="0"/>
              <w:jc w:val="both"/>
              <w:rPr/>
            </w:pPr>
            <w:r>
              <w:rPr/>
              <w:t>​</w:t>
            </w:r>
          </w:p>
        </w:tc>
      </w:tr>
      <w:tr>
        <w:trPr/>
        <w:tc>
          <w:tcPr>
            <w:tcW w:w="49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266" w:type="dxa"/>
            <w:tcBorders/>
            <w:vAlign w:val="center"/>
          </w:tcPr>
          <w:p>
            <w:pPr>
              <w:pStyle w:val="TableContents"/>
              <w:bidi w:val="0"/>
              <w:spacing w:before="0" w:after="0"/>
              <w:ind w:left="0" w:right="0" w:hanging="0"/>
              <w:jc w:val="both"/>
              <w:rPr/>
            </w:pPr>
            <w:r>
              <w:rPr/>
              <w:t>​</w:t>
            </w:r>
          </w:p>
        </w:tc>
        <w:tc>
          <w:tcPr>
            <w:tcW w:w="94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cover page from Monster Beverage Corporation’s Quarterly Report on Form 10-Q for the quarter ended June 30, 2023, formatted in iXBRL (Inline eXtensible Business Reporting Language) and contained in Exhibit 101.</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Filed herewith</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083" w:name="SIGNATURES_652864"/>
      <w:bookmarkStart w:id="2084" w:name="_9346304c_d725_4ce9_b771_e9be8af8893e"/>
      <w:bookmarkEnd w:id="2083"/>
      <w:bookmarkEnd w:id="2084"/>
      <w:r>
        <w:rPr>
          <w:rFonts w:ascii="Times New Roman;Times;serif" w:hAnsi="Times New Roman;Times;serif"/>
          <w:b/>
          <w:sz w:val="20"/>
        </w:rPr>
        <w:t>SIGNATURES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pPr>
      <w:r>
        <w:rPr/>
        <w:t>​</w:t>
      </w:r>
    </w:p>
    <w:tbl>
      <w:tblPr>
        <w:tblW w:w="5417" w:type="dxa"/>
        <w:jc w:val="left"/>
        <w:tblInd w:w="0" w:type="dxa"/>
        <w:tblLayout w:type="fixed"/>
        <w:tblCellMar>
          <w:top w:w="0" w:type="dxa"/>
          <w:left w:w="0" w:type="dxa"/>
          <w:bottom w:w="0" w:type="dxa"/>
          <w:right w:w="0" w:type="dxa"/>
        </w:tblCellMar>
      </w:tblPr>
      <w:tblGrid>
        <w:gridCol w:w="1846"/>
        <w:gridCol w:w="3571"/>
      </w:tblGrid>
      <w:tr>
        <w:trPr/>
        <w:tc>
          <w:tcPr>
            <w:tcW w:w="1846" w:type="dxa"/>
            <w:tcBorders/>
            <w:vAlign w:val="center"/>
          </w:tcPr>
          <w:p>
            <w:pPr>
              <w:pStyle w:val="TableContents"/>
              <w:bidi w:val="0"/>
              <w:spacing w:before="0" w:after="0"/>
              <w:ind w:left="0" w:right="0" w:hanging="0"/>
              <w:jc w:val="left"/>
              <w:rPr/>
            </w:pPr>
            <w:r>
              <w:rPr/>
              <w:t>​</w:t>
            </w:r>
          </w:p>
        </w:tc>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BEVERAGE CORPORATION</w:t>
            </w:r>
          </w:p>
        </w:tc>
      </w:tr>
      <w:tr>
        <w:trPr/>
        <w:tc>
          <w:tcPr>
            <w:tcW w:w="1846" w:type="dxa"/>
            <w:tcBorders/>
            <w:vAlign w:val="center"/>
          </w:tcPr>
          <w:p>
            <w:pPr>
              <w:pStyle w:val="TableContents"/>
              <w:bidi w:val="0"/>
              <w:spacing w:before="0" w:after="0"/>
              <w:ind w:left="0" w:right="0" w:hanging="0"/>
              <w:jc w:val="left"/>
              <w:rPr/>
            </w:pPr>
            <w:r>
              <w:rPr/>
              <w:t>​</w:t>
            </w:r>
          </w:p>
        </w:tc>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Registrant</w:t>
            </w:r>
          </w:p>
        </w:tc>
      </w:tr>
      <w:tr>
        <w:trPr/>
        <w:tc>
          <w:tcPr>
            <w:tcW w:w="1846" w:type="dxa"/>
            <w:tcBorders/>
            <w:vAlign w:val="center"/>
          </w:tcPr>
          <w:p>
            <w:pPr>
              <w:pStyle w:val="TableContents"/>
              <w:bidi w:val="0"/>
              <w:spacing w:before="0" w:after="0"/>
              <w:ind w:left="0" w:right="0" w:hanging="0"/>
              <w:jc w:val="left"/>
              <w:rPr/>
            </w:pPr>
            <w:r>
              <w:rPr/>
              <w:t>​</w:t>
            </w:r>
          </w:p>
        </w:tc>
        <w:tc>
          <w:tcPr>
            <w:tcW w:w="3571"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4, 2023</w:t>
            </w:r>
          </w:p>
        </w:tc>
        <w:tc>
          <w:tcPr>
            <w:tcW w:w="35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RODNEY C. SACKS</w:t>
            </w:r>
          </w:p>
        </w:tc>
      </w:tr>
      <w:tr>
        <w:trPr/>
        <w:tc>
          <w:tcPr>
            <w:tcW w:w="1846" w:type="dxa"/>
            <w:tcBorders/>
            <w:vAlign w:val="center"/>
          </w:tcPr>
          <w:p>
            <w:pPr>
              <w:pStyle w:val="TableContents"/>
              <w:bidi w:val="0"/>
              <w:spacing w:before="0" w:after="0"/>
              <w:ind w:left="0" w:right="0" w:hanging="0"/>
              <w:jc w:val="left"/>
              <w:rPr/>
            </w:pPr>
            <w:r>
              <w:rPr/>
              <w:t>​</w:t>
            </w:r>
          </w:p>
        </w:tc>
        <w:tc>
          <w:tcPr>
            <w:tcW w:w="35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Rodney C. Sacks</w:t>
            </w:r>
          </w:p>
        </w:tc>
      </w:tr>
      <w:tr>
        <w:trPr/>
        <w:tc>
          <w:tcPr>
            <w:tcW w:w="1846" w:type="dxa"/>
            <w:tcBorders/>
            <w:vAlign w:val="center"/>
          </w:tcPr>
          <w:p>
            <w:pPr>
              <w:pStyle w:val="TableContents"/>
              <w:bidi w:val="0"/>
              <w:spacing w:before="0" w:after="0"/>
              <w:ind w:left="0" w:right="0" w:hanging="0"/>
              <w:jc w:val="left"/>
              <w:rPr/>
            </w:pPr>
            <w:r>
              <w:rPr/>
              <w:t>​</w:t>
            </w:r>
          </w:p>
        </w:tc>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of the Board of Directors</w:t>
            </w:r>
          </w:p>
        </w:tc>
      </w:tr>
      <w:tr>
        <w:trPr/>
        <w:tc>
          <w:tcPr>
            <w:tcW w:w="1846" w:type="dxa"/>
            <w:tcBorders/>
            <w:vAlign w:val="center"/>
          </w:tcPr>
          <w:p>
            <w:pPr>
              <w:pStyle w:val="TableContents"/>
              <w:bidi w:val="0"/>
              <w:spacing w:before="0" w:after="0"/>
              <w:ind w:left="0" w:right="0" w:hanging="0"/>
              <w:jc w:val="left"/>
              <w:rPr/>
            </w:pPr>
            <w:r>
              <w:rPr/>
              <w:t>​</w:t>
            </w:r>
          </w:p>
        </w:tc>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and Co-Chief Executive Officer</w:t>
            </w:r>
          </w:p>
        </w:tc>
      </w:tr>
      <w:tr>
        <w:trPr/>
        <w:tc>
          <w:tcPr>
            <w:tcW w:w="1846" w:type="dxa"/>
            <w:tcBorders/>
            <w:vAlign w:val="center"/>
          </w:tcPr>
          <w:p>
            <w:pPr>
              <w:pStyle w:val="TableContents"/>
              <w:bidi w:val="0"/>
              <w:spacing w:before="0" w:after="0"/>
              <w:ind w:left="0" w:right="0" w:hanging="0"/>
              <w:jc w:val="left"/>
              <w:rPr/>
            </w:pPr>
            <w:r>
              <w:rPr/>
              <w:t>​</w:t>
            </w:r>
          </w:p>
        </w:tc>
        <w:tc>
          <w:tcPr>
            <w:tcW w:w="3571"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4, 2023</w:t>
            </w:r>
          </w:p>
        </w:tc>
        <w:tc>
          <w:tcPr>
            <w:tcW w:w="35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HILTON H. SCHLOSBERG</w:t>
            </w:r>
          </w:p>
        </w:tc>
      </w:tr>
      <w:tr>
        <w:trPr/>
        <w:tc>
          <w:tcPr>
            <w:tcW w:w="1846" w:type="dxa"/>
            <w:tcBorders/>
            <w:vAlign w:val="center"/>
          </w:tcPr>
          <w:p>
            <w:pPr>
              <w:pStyle w:val="TableContents"/>
              <w:bidi w:val="0"/>
              <w:spacing w:before="0" w:after="0"/>
              <w:ind w:left="0" w:right="0" w:hanging="0"/>
              <w:jc w:val="left"/>
              <w:rPr/>
            </w:pPr>
            <w:r>
              <w:rPr/>
              <w:t>​</w:t>
            </w:r>
          </w:p>
        </w:tc>
        <w:tc>
          <w:tcPr>
            <w:tcW w:w="35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Hilton H. Schlosberg</w:t>
            </w:r>
          </w:p>
        </w:tc>
      </w:tr>
      <w:tr>
        <w:trPr/>
        <w:tc>
          <w:tcPr>
            <w:tcW w:w="1846" w:type="dxa"/>
            <w:tcBorders/>
            <w:vAlign w:val="center"/>
          </w:tcPr>
          <w:p>
            <w:pPr>
              <w:pStyle w:val="TableContents"/>
              <w:bidi w:val="0"/>
              <w:spacing w:before="0" w:after="0"/>
              <w:ind w:left="0" w:right="0" w:hanging="0"/>
              <w:jc w:val="left"/>
              <w:rPr/>
            </w:pPr>
            <w:r>
              <w:rPr/>
              <w:t>​</w:t>
            </w:r>
          </w:p>
        </w:tc>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Chairman of the Board of Directors</w:t>
            </w:r>
          </w:p>
        </w:tc>
      </w:tr>
      <w:tr>
        <w:trPr/>
        <w:tc>
          <w:tcPr>
            <w:tcW w:w="1846" w:type="dxa"/>
            <w:tcBorders/>
            <w:vAlign w:val="center"/>
          </w:tcPr>
          <w:p>
            <w:pPr>
              <w:pStyle w:val="TableContents"/>
              <w:bidi w:val="0"/>
              <w:spacing w:before="0" w:after="0"/>
              <w:ind w:left="0" w:right="0" w:hanging="0"/>
              <w:jc w:val="left"/>
              <w:rPr/>
            </w:pPr>
            <w:r>
              <w:rPr/>
              <w:t>​</w:t>
            </w:r>
          </w:p>
        </w:tc>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and Co-Chief Executive Officer</w:t>
            </w:r>
          </w:p>
        </w:tc>
      </w:tr>
    </w:tbl>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0"/>
        <w:ind w:left="0" w:right="0" w:hanging="0"/>
        <w:jc w:val="right"/>
        <w:rPr>
          <w:rFonts w:ascii="Times New Roman;Times;serif" w:hAnsi="Times New Roman;Times;serif"/>
          <w:b/>
          <w:sz w:val="20"/>
        </w:rPr>
      </w:pPr>
      <w:bookmarkStart w:id="2085" w:name="mnst-20230630xex31d1.htm"/>
      <w:bookmarkStart w:id="2086" w:name="ksmnst20230630xex31d1"/>
      <w:bookmarkEnd w:id="2085"/>
      <w:bookmarkEnd w:id="2086"/>
      <w:r>
        <w:rPr>
          <w:rFonts w:ascii="Times New Roman;Times;serif" w:hAnsi="Times New Roman;Times;serif"/>
          <w:b/>
          <w:sz w:val="20"/>
        </w:rPr>
        <w:t>EXHIBIT 31.1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 PURSUANT TO RULE 13A-14(a) OR 15D-14(a) OF THE SECURITIES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EXCHANGE ACT OF 1934, AS ADOPTED PURSUANT TO SECTION 302 OF THE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Rodney Sacks, certify that:</w:t>
      </w:r>
    </w:p>
    <w:p>
      <w:pPr>
        <w:pStyle w:val="TextBody"/>
        <w:bidi w:val="0"/>
        <w:spacing w:before="0" w:after="0"/>
        <w:ind w:left="0" w:right="0" w:hanging="0"/>
        <w:jc w:val="left"/>
        <w:rPr/>
      </w:pPr>
      <w:r>
        <w:rPr/>
        <w:t>​</w:t>
      </w:r>
    </w:p>
    <w:tbl>
      <w:tblPr>
        <w:tblW w:w="7120" w:type="dxa"/>
        <w:jc w:val="left"/>
        <w:tblInd w:w="0" w:type="dxa"/>
        <w:tblLayout w:type="fixed"/>
        <w:tblCellMar>
          <w:top w:w="0" w:type="dxa"/>
          <w:left w:w="0" w:type="dxa"/>
          <w:bottom w:w="0" w:type="dxa"/>
          <w:right w:w="0" w:type="dxa"/>
        </w:tblCellMar>
      </w:tblPr>
      <w:tblGrid>
        <w:gridCol w:w="170"/>
        <w:gridCol w:w="6950"/>
      </w:tblGrid>
      <w:tr>
        <w:trPr/>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695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 have reviewed this quarterly report on Form 10-Q of Monster Beverage Corporation;</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36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36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pBdr/>
        <w:bidi w:val="0"/>
        <w:spacing w:before="0" w:after="0"/>
        <w:ind w:left="144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144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pBdr/>
        <w:bidi w:val="0"/>
        <w:spacing w:before="0" w:after="0"/>
        <w:ind w:left="144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pBdr/>
        <w:bidi w:val="0"/>
        <w:spacing w:before="0" w:after="0"/>
        <w:ind w:left="144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144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5264" w:type="dxa"/>
        <w:jc w:val="center"/>
        <w:tblInd w:w="0" w:type="dxa"/>
        <w:tblLayout w:type="fixed"/>
        <w:tblCellMar>
          <w:top w:w="0" w:type="dxa"/>
          <w:left w:w="0" w:type="dxa"/>
          <w:bottom w:w="0" w:type="dxa"/>
          <w:right w:w="0" w:type="dxa"/>
        </w:tblCellMar>
      </w:tblPr>
      <w:tblGrid>
        <w:gridCol w:w="601"/>
        <w:gridCol w:w="1351"/>
        <w:gridCol w:w="326"/>
        <w:gridCol w:w="2986"/>
      </w:tblGrid>
      <w:tr>
        <w:trPr/>
        <w:tc>
          <w:tcPr>
            <w:tcW w:w="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Date: </w:t>
            </w:r>
          </w:p>
        </w:tc>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4, 2023</w:t>
            </w:r>
          </w:p>
        </w:tc>
        <w:tc>
          <w:tcPr>
            <w:tcW w:w="326" w:type="dxa"/>
            <w:tcBorders/>
            <w:vAlign w:val="center"/>
          </w:tcPr>
          <w:p>
            <w:pPr>
              <w:pStyle w:val="TableContents"/>
              <w:bidi w:val="0"/>
              <w:spacing w:before="0" w:after="0"/>
              <w:ind w:left="0" w:right="0" w:hanging="0"/>
              <w:jc w:val="left"/>
              <w:rPr/>
            </w:pPr>
            <w:r>
              <w:rPr/>
              <w:t>    </w:t>
            </w:r>
          </w:p>
        </w:tc>
        <w:tc>
          <w:tcPr>
            <w:tcW w:w="29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Rodney C. Sacks</w:t>
            </w:r>
          </w:p>
        </w:tc>
      </w:tr>
      <w:tr>
        <w:trPr/>
        <w:tc>
          <w:tcPr>
            <w:tcW w:w="1952" w:type="dxa"/>
            <w:gridSpan w:val="2"/>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298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Rodney C. Sacks</w:t>
            </w:r>
          </w:p>
        </w:tc>
      </w:tr>
      <w:tr>
        <w:trPr/>
        <w:tc>
          <w:tcPr>
            <w:tcW w:w="1952" w:type="dxa"/>
            <w:gridSpan w:val="2"/>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of the Board of Directors</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and Co-Chief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087" w:name="mnst-20230630xex31d2.htm"/>
      <w:bookmarkStart w:id="2088" w:name="ksmnst20230630xex31d2"/>
      <w:bookmarkEnd w:id="2087"/>
      <w:bookmarkEnd w:id="2088"/>
      <w:r>
        <w:rPr>
          <w:rFonts w:ascii="Times New Roman;Times;serif" w:hAnsi="Times New Roman;Times;serif"/>
          <w:b/>
          <w:sz w:val="20"/>
        </w:rPr>
        <w:t>EXHIBIT 31.2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 PURSUANT TO RULE 13A-14(a) OR 15D-14(a) OF THE SECURITIES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EXCHANGE ACT OF 1934, AS ADOPTED PURSUANT TO SECTION 302 OF THE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Hilton Schlosberg, certify that:</w:t>
      </w:r>
    </w:p>
    <w:p>
      <w:pPr>
        <w:pStyle w:val="TextBody"/>
        <w:bidi w:val="0"/>
        <w:spacing w:before="0" w:after="0"/>
        <w:ind w:left="0" w:right="0" w:hanging="0"/>
        <w:jc w:val="left"/>
        <w:rPr/>
      </w:pPr>
      <w:r>
        <w:rPr/>
        <w:t>​</w:t>
      </w:r>
    </w:p>
    <w:tbl>
      <w:tblPr>
        <w:tblW w:w="7120" w:type="dxa"/>
        <w:jc w:val="left"/>
        <w:tblInd w:w="0" w:type="dxa"/>
        <w:tblLayout w:type="fixed"/>
        <w:tblCellMar>
          <w:top w:w="0" w:type="dxa"/>
          <w:left w:w="0" w:type="dxa"/>
          <w:bottom w:w="0" w:type="dxa"/>
          <w:right w:w="0" w:type="dxa"/>
        </w:tblCellMar>
      </w:tblPr>
      <w:tblGrid>
        <w:gridCol w:w="170"/>
        <w:gridCol w:w="6950"/>
      </w:tblGrid>
      <w:tr>
        <w:trPr/>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695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 have reviewed this quarterly report on Form 10-Q of Monster Beverage Corporation;</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36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pBdr/>
        <w:bidi w:val="0"/>
        <w:spacing w:before="0" w:after="0"/>
        <w:ind w:left="144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144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pBdr/>
        <w:bidi w:val="0"/>
        <w:spacing w:before="0" w:after="0"/>
        <w:ind w:left="144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pBdr/>
        <w:bidi w:val="0"/>
        <w:spacing w:before="0" w:after="0"/>
        <w:ind w:left="144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144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6074" w:type="dxa"/>
        <w:jc w:val="center"/>
        <w:tblInd w:w="0" w:type="dxa"/>
        <w:tblLayout w:type="fixed"/>
        <w:tblCellMar>
          <w:top w:w="0" w:type="dxa"/>
          <w:left w:w="0" w:type="dxa"/>
          <w:bottom w:w="0" w:type="dxa"/>
          <w:right w:w="0" w:type="dxa"/>
        </w:tblCellMar>
      </w:tblPr>
      <w:tblGrid>
        <w:gridCol w:w="601"/>
        <w:gridCol w:w="1351"/>
        <w:gridCol w:w="326"/>
        <w:gridCol w:w="3796"/>
      </w:tblGrid>
      <w:tr>
        <w:trPr/>
        <w:tc>
          <w:tcPr>
            <w:tcW w:w="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Date: </w:t>
            </w:r>
          </w:p>
        </w:tc>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4, 2023</w:t>
            </w:r>
          </w:p>
        </w:tc>
        <w:tc>
          <w:tcPr>
            <w:tcW w:w="326" w:type="dxa"/>
            <w:tcBorders/>
            <w:vAlign w:val="center"/>
          </w:tcPr>
          <w:p>
            <w:pPr>
              <w:pStyle w:val="TableContents"/>
              <w:bidi w:val="0"/>
              <w:spacing w:before="0" w:after="0"/>
              <w:ind w:left="0" w:right="0" w:hanging="0"/>
              <w:jc w:val="left"/>
              <w:rPr/>
            </w:pPr>
            <w:r>
              <w:rPr/>
              <w:t>    </w:t>
            </w:r>
          </w:p>
        </w:tc>
        <w:tc>
          <w:tcPr>
            <w:tcW w:w="37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Hilton H. Schlosberg</w:t>
            </w:r>
          </w:p>
        </w:tc>
      </w:tr>
      <w:tr>
        <w:trPr/>
        <w:tc>
          <w:tcPr>
            <w:tcW w:w="1952" w:type="dxa"/>
            <w:gridSpan w:val="2"/>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379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Hilton H. Schlosberg</w:t>
            </w:r>
          </w:p>
        </w:tc>
      </w:tr>
      <w:tr>
        <w:trPr/>
        <w:tc>
          <w:tcPr>
            <w:tcW w:w="1952" w:type="dxa"/>
            <w:gridSpan w:val="2"/>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Vice Chairman of the Board of Directors and </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089" w:name="mnst-20230630xex31d3.htm"/>
      <w:bookmarkStart w:id="2090" w:name="ksmnst20230630xex31d3"/>
      <w:bookmarkEnd w:id="2089"/>
      <w:bookmarkEnd w:id="2090"/>
      <w:r>
        <w:rPr>
          <w:rFonts w:ascii="Times New Roman;Times;serif" w:hAnsi="Times New Roman;Times;serif"/>
          <w:b/>
          <w:sz w:val="20"/>
        </w:rPr>
        <w:t>EXHIBIT 31.3</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 PURSUANT TO RULE 13A-14(a) OR 15D-14(a) OF THE SECURITIES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EXCHANGE ACT OF 1934, AS ADOPTED PURSUANT TO SECTION 302 OF THE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Thomas Kelly, certify that:</w:t>
      </w:r>
    </w:p>
    <w:p>
      <w:pPr>
        <w:pStyle w:val="TextBody"/>
        <w:bidi w:val="0"/>
        <w:spacing w:before="0" w:after="0"/>
        <w:ind w:left="0" w:right="0" w:hanging="0"/>
        <w:jc w:val="left"/>
        <w:rPr/>
      </w:pPr>
      <w:r>
        <w:rPr/>
        <w:t>​</w:t>
      </w:r>
    </w:p>
    <w:tbl>
      <w:tblPr>
        <w:tblW w:w="7120" w:type="dxa"/>
        <w:jc w:val="left"/>
        <w:tblInd w:w="0" w:type="dxa"/>
        <w:tblLayout w:type="fixed"/>
        <w:tblCellMar>
          <w:top w:w="0" w:type="dxa"/>
          <w:left w:w="0" w:type="dxa"/>
          <w:bottom w:w="0" w:type="dxa"/>
          <w:right w:w="0" w:type="dxa"/>
        </w:tblCellMar>
      </w:tblPr>
      <w:tblGrid>
        <w:gridCol w:w="170"/>
        <w:gridCol w:w="6950"/>
      </w:tblGrid>
      <w:tr>
        <w:trPr/>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695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 have reviewed this quarterly report on Form 10-Q of Monster Beverage Corporation;</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36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pBdr/>
        <w:bidi w:val="0"/>
        <w:spacing w:before="0" w:after="0"/>
        <w:ind w:left="144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144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pBdr/>
        <w:bidi w:val="0"/>
        <w:spacing w:before="0" w:after="0"/>
        <w:ind w:left="144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pBdr/>
        <w:bidi w:val="0"/>
        <w:spacing w:before="0" w:after="0"/>
        <w:ind w:left="144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144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4289" w:type="dxa"/>
        <w:jc w:val="center"/>
        <w:tblInd w:w="0" w:type="dxa"/>
        <w:tblLayout w:type="fixed"/>
        <w:tblCellMar>
          <w:top w:w="0" w:type="dxa"/>
          <w:left w:w="0" w:type="dxa"/>
          <w:bottom w:w="0" w:type="dxa"/>
          <w:right w:w="0" w:type="dxa"/>
        </w:tblCellMar>
      </w:tblPr>
      <w:tblGrid>
        <w:gridCol w:w="601"/>
        <w:gridCol w:w="1351"/>
        <w:gridCol w:w="326"/>
        <w:gridCol w:w="2011"/>
      </w:tblGrid>
      <w:tr>
        <w:trPr/>
        <w:tc>
          <w:tcPr>
            <w:tcW w:w="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Date: </w:t>
            </w:r>
          </w:p>
        </w:tc>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4, 2023</w:t>
            </w:r>
          </w:p>
        </w:tc>
        <w:tc>
          <w:tcPr>
            <w:tcW w:w="326" w:type="dxa"/>
            <w:tcBorders/>
            <w:vAlign w:val="center"/>
          </w:tcPr>
          <w:p>
            <w:pPr>
              <w:pStyle w:val="TableContents"/>
              <w:bidi w:val="0"/>
              <w:spacing w:before="0" w:after="0"/>
              <w:ind w:left="0" w:right="0" w:hanging="0"/>
              <w:jc w:val="left"/>
              <w:rPr/>
            </w:pPr>
            <w:r>
              <w:rPr/>
              <w:t>    </w:t>
            </w:r>
          </w:p>
        </w:tc>
        <w:tc>
          <w:tcPr>
            <w:tcW w:w="2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Thomas J. Kelly</w:t>
            </w:r>
          </w:p>
        </w:tc>
      </w:tr>
      <w:tr>
        <w:trPr/>
        <w:tc>
          <w:tcPr>
            <w:tcW w:w="1952" w:type="dxa"/>
            <w:gridSpan w:val="2"/>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20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Thomas J. Kelly</w:t>
            </w:r>
          </w:p>
        </w:tc>
      </w:tr>
      <w:tr>
        <w:trPr/>
        <w:tc>
          <w:tcPr>
            <w:tcW w:w="1952" w:type="dxa"/>
            <w:gridSpan w:val="2"/>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091" w:name="mnst-20230630xex32d1.htm"/>
      <w:bookmarkStart w:id="2092" w:name="ksmnst20230630xex32d1"/>
      <w:bookmarkEnd w:id="2091"/>
      <w:bookmarkEnd w:id="2092"/>
      <w:r>
        <w:rPr>
          <w:rFonts w:ascii="Times New Roman;Times;serif" w:hAnsi="Times New Roman;Times;serif"/>
          <w:b/>
          <w:sz w:val="20"/>
        </w:rPr>
        <w:t>EXHIBIT 32.1</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 PURSUANT TO</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 U.S.C. SECTION 1350,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 ADOPTED PURSUANT TO</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connection with the quarterly report of Monster Beverage Corporation (the “Company”) on Form 10-Q for the quarter ended June 30, 2023 as filed with the Securities and Exchange Commission (the “Report”), the undersigned, Rodney C. Sacks, Chairman of the Board of Directors and Co-Chief Executive Officer of the Company, certifies, pursuant to 18 U.S.C. 1350, as adopted pursuant to Section 906 of the Sarbanes-Oxley Act of 2002, that:</w:t>
      </w:r>
    </w:p>
    <w:p>
      <w:pPr>
        <w:pStyle w:val="TextBody"/>
        <w:bidi w:val="0"/>
        <w:spacing w:before="0" w:after="0"/>
        <w:ind w:left="0" w:right="0" w:hanging="0"/>
        <w:jc w:val="left"/>
        <w:rPr/>
      </w:pPr>
      <w:r>
        <w:rPr/>
        <w:t>​</w:t>
      </w:r>
    </w:p>
    <w:tbl>
      <w:tblPr>
        <w:tblW w:w="9783" w:type="dxa"/>
        <w:jc w:val="left"/>
        <w:tblInd w:w="0" w:type="dxa"/>
        <w:tblLayout w:type="fixed"/>
        <w:tblCellMar>
          <w:top w:w="0" w:type="dxa"/>
          <w:left w:w="0" w:type="dxa"/>
          <w:bottom w:w="0" w:type="dxa"/>
          <w:right w:w="0" w:type="dxa"/>
        </w:tblCellMar>
      </w:tblPr>
      <w:tblGrid>
        <w:gridCol w:w="23"/>
        <w:gridCol w:w="170"/>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5264" w:type="dxa"/>
        <w:jc w:val="center"/>
        <w:tblInd w:w="0" w:type="dxa"/>
        <w:tblLayout w:type="fixed"/>
        <w:tblCellMar>
          <w:top w:w="0" w:type="dxa"/>
          <w:left w:w="0" w:type="dxa"/>
          <w:bottom w:w="0" w:type="dxa"/>
          <w:right w:w="0" w:type="dxa"/>
        </w:tblCellMar>
      </w:tblPr>
      <w:tblGrid>
        <w:gridCol w:w="601"/>
        <w:gridCol w:w="1351"/>
        <w:gridCol w:w="326"/>
        <w:gridCol w:w="2986"/>
      </w:tblGrid>
      <w:tr>
        <w:trPr/>
        <w:tc>
          <w:tcPr>
            <w:tcW w:w="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Date: </w:t>
            </w:r>
          </w:p>
        </w:tc>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4, 2023</w:t>
            </w:r>
          </w:p>
        </w:tc>
        <w:tc>
          <w:tcPr>
            <w:tcW w:w="326" w:type="dxa"/>
            <w:tcBorders/>
            <w:vAlign w:val="center"/>
          </w:tcPr>
          <w:p>
            <w:pPr>
              <w:pStyle w:val="TableContents"/>
              <w:bidi w:val="0"/>
              <w:spacing w:before="0" w:after="0"/>
              <w:ind w:left="0" w:right="0" w:hanging="0"/>
              <w:jc w:val="left"/>
              <w:rPr/>
            </w:pPr>
            <w:r>
              <w:rPr/>
              <w:t>    </w:t>
            </w:r>
          </w:p>
        </w:tc>
        <w:tc>
          <w:tcPr>
            <w:tcW w:w="29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Rodney C. Sacks</w:t>
            </w:r>
          </w:p>
        </w:tc>
      </w:tr>
      <w:tr>
        <w:trPr/>
        <w:tc>
          <w:tcPr>
            <w:tcW w:w="1952" w:type="dxa"/>
            <w:gridSpan w:val="2"/>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298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Rodney C. Sacks</w:t>
            </w:r>
          </w:p>
        </w:tc>
      </w:tr>
      <w:tr>
        <w:trPr/>
        <w:tc>
          <w:tcPr>
            <w:tcW w:w="1952" w:type="dxa"/>
            <w:gridSpan w:val="2"/>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of the Board of Directors</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and Co-Chief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093" w:name="mnst-20230630xex32d2.htm"/>
      <w:bookmarkStart w:id="2094" w:name="ksmnst20230630xex32d2"/>
      <w:bookmarkEnd w:id="2093"/>
      <w:bookmarkEnd w:id="2094"/>
      <w:r>
        <w:rPr>
          <w:rFonts w:ascii="Times New Roman;Times;serif" w:hAnsi="Times New Roman;Times;serif"/>
          <w:b/>
          <w:sz w:val="20"/>
        </w:rPr>
        <w:t>EXHIBIT 32.2</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 PURSUANT TO</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 U.S.C. SECTION 1350,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 ADOPTED PURSUANT TO</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connection with the quarterly report of Monster Beverage Corporation (the “Company”) on Form 10-Q for the quarter ended June 30, 2023 as filed with the Securities and Exchange Commission (the “Report”), the undersigned, Hilton H. Schlosberg, Vice Chairman of the Board of Directors and Co-Chief Executive Officer of the Company, certifies, pursuant to 18 U.S.C. 1350, as adopted pursuant to Section 906 of the Sarbanes-Oxley Act of 2002, that:</w:t>
      </w:r>
    </w:p>
    <w:p>
      <w:pPr>
        <w:pStyle w:val="TextBody"/>
        <w:bidi w:val="0"/>
        <w:spacing w:before="0" w:after="0"/>
        <w:ind w:left="0" w:right="0" w:hanging="0"/>
        <w:jc w:val="left"/>
        <w:rPr/>
      </w:pPr>
      <w:r>
        <w:rPr/>
        <w:t>​</w:t>
      </w:r>
    </w:p>
    <w:tbl>
      <w:tblPr>
        <w:tblW w:w="9783" w:type="dxa"/>
        <w:jc w:val="left"/>
        <w:tblInd w:w="0" w:type="dxa"/>
        <w:tblLayout w:type="fixed"/>
        <w:tblCellMar>
          <w:top w:w="0" w:type="dxa"/>
          <w:left w:w="0" w:type="dxa"/>
          <w:bottom w:w="0" w:type="dxa"/>
          <w:right w:w="0" w:type="dxa"/>
        </w:tblCellMar>
      </w:tblPr>
      <w:tblGrid>
        <w:gridCol w:w="23"/>
        <w:gridCol w:w="170"/>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6029" w:type="dxa"/>
        <w:jc w:val="center"/>
        <w:tblInd w:w="0" w:type="dxa"/>
        <w:tblLayout w:type="fixed"/>
        <w:tblCellMar>
          <w:top w:w="0" w:type="dxa"/>
          <w:left w:w="0" w:type="dxa"/>
          <w:bottom w:w="0" w:type="dxa"/>
          <w:right w:w="0" w:type="dxa"/>
        </w:tblCellMar>
      </w:tblPr>
      <w:tblGrid>
        <w:gridCol w:w="601"/>
        <w:gridCol w:w="1351"/>
        <w:gridCol w:w="326"/>
        <w:gridCol w:w="3751"/>
      </w:tblGrid>
      <w:tr>
        <w:trPr/>
        <w:tc>
          <w:tcPr>
            <w:tcW w:w="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Date: </w:t>
            </w:r>
          </w:p>
        </w:tc>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4, 2023</w:t>
            </w:r>
          </w:p>
        </w:tc>
        <w:tc>
          <w:tcPr>
            <w:tcW w:w="326" w:type="dxa"/>
            <w:tcBorders/>
            <w:vAlign w:val="center"/>
          </w:tcPr>
          <w:p>
            <w:pPr>
              <w:pStyle w:val="TableContents"/>
              <w:bidi w:val="0"/>
              <w:spacing w:before="0" w:after="0"/>
              <w:ind w:left="0" w:right="0" w:hanging="0"/>
              <w:jc w:val="left"/>
              <w:rPr/>
            </w:pPr>
            <w:r>
              <w:rPr/>
              <w:t>    </w:t>
            </w:r>
          </w:p>
        </w:tc>
        <w:tc>
          <w:tcPr>
            <w:tcW w:w="37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Hilton H. Schlosberg</w:t>
            </w:r>
          </w:p>
        </w:tc>
      </w:tr>
      <w:tr>
        <w:trPr/>
        <w:tc>
          <w:tcPr>
            <w:tcW w:w="1952" w:type="dxa"/>
            <w:gridSpan w:val="2"/>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375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Hilton H. Schlosberg</w:t>
            </w:r>
          </w:p>
        </w:tc>
      </w:tr>
      <w:tr>
        <w:trPr/>
        <w:tc>
          <w:tcPr>
            <w:tcW w:w="1952" w:type="dxa"/>
            <w:gridSpan w:val="2"/>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Chairman of the Board of Directors and</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095" w:name="mnst-20230630xex32d3.htm"/>
      <w:bookmarkStart w:id="2096" w:name="ksmnst20230630xex32d3"/>
      <w:bookmarkEnd w:id="2095"/>
      <w:bookmarkEnd w:id="2096"/>
      <w:r>
        <w:rPr>
          <w:rFonts w:ascii="Times New Roman;Times;serif" w:hAnsi="Times New Roman;Times;serif"/>
          <w:b/>
          <w:sz w:val="20"/>
        </w:rPr>
        <w:t>EXHIBIT 32.3</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 PURSUANT TO</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 U.S.C. SECTION 1350,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 ADOPTED PURSUANT TO</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connection with the quarterly report of Monster Beverage Corporation (the “Company”) on Form 10-Q for the quarter ended June 30, 2023 as filed with the Securities and Exchange Commission (the “Report”), the undersigned, Thomas J. Kelly, Chief Financial Officer of the Company, certifies, pursuant to 18 U.S.C. 1350, as adopted pursuant to Section 906 of the Sarbanes-Oxley Act of 2002, that:</w:t>
      </w:r>
    </w:p>
    <w:p>
      <w:pPr>
        <w:pStyle w:val="TextBody"/>
        <w:bidi w:val="0"/>
        <w:spacing w:before="0" w:after="0"/>
        <w:ind w:left="0" w:right="0" w:hanging="0"/>
        <w:jc w:val="left"/>
        <w:rPr/>
      </w:pPr>
      <w:r>
        <w:rPr/>
        <w:t>​</w:t>
      </w:r>
    </w:p>
    <w:tbl>
      <w:tblPr>
        <w:tblW w:w="9783" w:type="dxa"/>
        <w:jc w:val="left"/>
        <w:tblInd w:w="0" w:type="dxa"/>
        <w:tblLayout w:type="fixed"/>
        <w:tblCellMar>
          <w:top w:w="0" w:type="dxa"/>
          <w:left w:w="0" w:type="dxa"/>
          <w:bottom w:w="0" w:type="dxa"/>
          <w:right w:w="0" w:type="dxa"/>
        </w:tblCellMar>
      </w:tblPr>
      <w:tblGrid>
        <w:gridCol w:w="23"/>
        <w:gridCol w:w="170"/>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4289" w:type="dxa"/>
        <w:jc w:val="center"/>
        <w:tblInd w:w="0" w:type="dxa"/>
        <w:tblLayout w:type="fixed"/>
        <w:tblCellMar>
          <w:top w:w="0" w:type="dxa"/>
          <w:left w:w="0" w:type="dxa"/>
          <w:bottom w:w="0" w:type="dxa"/>
          <w:right w:w="0" w:type="dxa"/>
        </w:tblCellMar>
      </w:tblPr>
      <w:tblGrid>
        <w:gridCol w:w="601"/>
        <w:gridCol w:w="1351"/>
        <w:gridCol w:w="326"/>
        <w:gridCol w:w="2011"/>
      </w:tblGrid>
      <w:tr>
        <w:trPr/>
        <w:tc>
          <w:tcPr>
            <w:tcW w:w="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Date: </w:t>
            </w:r>
          </w:p>
        </w:tc>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4, 2023</w:t>
            </w:r>
          </w:p>
        </w:tc>
        <w:tc>
          <w:tcPr>
            <w:tcW w:w="326" w:type="dxa"/>
            <w:tcBorders/>
            <w:vAlign w:val="center"/>
          </w:tcPr>
          <w:p>
            <w:pPr>
              <w:pStyle w:val="TableContents"/>
              <w:bidi w:val="0"/>
              <w:spacing w:before="0" w:after="0"/>
              <w:ind w:left="0" w:right="0" w:hanging="0"/>
              <w:jc w:val="left"/>
              <w:rPr/>
            </w:pPr>
            <w:r>
              <w:rPr/>
              <w:t>    </w:t>
            </w:r>
          </w:p>
        </w:tc>
        <w:tc>
          <w:tcPr>
            <w:tcW w:w="2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Thomas J. Kelly</w:t>
            </w:r>
          </w:p>
        </w:tc>
      </w:tr>
      <w:tr>
        <w:trPr/>
        <w:tc>
          <w:tcPr>
            <w:tcW w:w="1952" w:type="dxa"/>
            <w:gridSpan w:val="2"/>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20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Thomas J. Kelly</w:t>
            </w:r>
          </w:p>
        </w:tc>
      </w:tr>
      <w:tr>
        <w:trPr/>
        <w:tc>
          <w:tcPr>
            <w:tcW w:w="1952" w:type="dxa"/>
            <w:gridSpan w:val="2"/>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65752/000110465923074933/tm2319592d1_ex3-1.htm" TargetMode="External"/><Relationship Id="rId3" Type="http://schemas.openxmlformats.org/officeDocument/2006/relationships/hyperlink" Target="https://www.sec.gov/Archives/edgar/data/865752/000110465923074933/tm2319592d1_ex3-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28237</Words>
  <Characters>159198</Characters>
  <CharactersWithSpaces>190477</CharactersWithSpaces>
  <Paragraphs>9371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