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mnst-20230331x10q.htm"/>
        <w:bookmarkStart w:id="1" w:name="ksmnst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0"/>
        <w:ind w:left="0" w:right="0" w:hanging="0"/>
        <w:rPr/>
      </w:pPr>
      <w:r>
        <w:rPr/>
        <w:t>​</w:t>
      </w:r>
    </w:p>
    <w:p>
      <w:pPr>
        <w:pStyle w:val="TextBody"/>
        <w:spacing w:before="0" w:after="0"/>
        <w:ind w:left="0" w:right="0" w:hanging="0"/>
        <w:rPr/>
      </w:pPr>
      <w:bookmarkStart w:id="2" w:name="_b2b3ff28_7e9d_487e_b927_35d4987b5b8f"/>
      <w:bookmarkEnd w:id="2"/>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Washington, D.C. 20549</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36"/>
        </w:rPr>
      </w:pPr>
      <w:r>
        <w:rPr>
          <w:rFonts w:ascii="Times New Roman;Times;serif" w:hAnsi="Times New Roman;Times;serif"/>
          <w:b/>
          <w:sz w:val="36"/>
        </w:rPr>
        <w:t>Form 10-Q</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4"/>
        </w:rPr>
      </w:pPr>
      <w:r>
        <w:rPr>
          <w:rFonts w:ascii="Times New Roman;Times;serif" w:hAnsi="Times New Roman;Times;serif"/>
          <w:b/>
          <w:sz w:val="24"/>
        </w:rPr>
        <w:t>Quarterly</w:t>
      </w:r>
      <w:r>
        <w:rPr>
          <w:rFonts w:ascii="Times New Roman;Times;serif" w:hAnsi="Times New Roman;Times;serif"/>
          <w:sz w:val="24"/>
        </w:rPr>
        <w:t xml:space="preserve"> </w:t>
      </w:r>
      <w:r>
        <w:rPr>
          <w:rFonts w:ascii="Times New Roman;Times;serif" w:hAnsi="Times New Roman;Times;serif"/>
          <w:b/>
          <w:sz w:val="24"/>
        </w:rPr>
        <w:t>Report</w:t>
      </w:r>
      <w:r>
        <w:rPr>
          <w:rFonts w:ascii="Times New Roman;Times;serif" w:hAnsi="Times New Roman;Times;serif"/>
          <w:sz w:val="24"/>
        </w:rPr>
        <w:t xml:space="preserve"> </w:t>
      </w:r>
      <w:r>
        <w:rPr>
          <w:rFonts w:ascii="Times New Roman;Times;serif" w:hAnsi="Times New Roman;Times;serif"/>
          <w:b/>
          <w:sz w:val="24"/>
        </w:rPr>
        <w:t>Pursuant to Section 13 or 15(d)</w:t>
      </w:r>
    </w:p>
    <w:p>
      <w:pPr>
        <w:pStyle w:val="TextBody"/>
        <w:spacing w:before="0" w:after="0"/>
        <w:ind w:left="0" w:right="0" w:hanging="0"/>
        <w:jc w:val="center"/>
        <w:rPr>
          <w:rFonts w:ascii="Times New Roman;Times;serif" w:hAnsi="Times New Roman;Times;serif"/>
          <w:b/>
          <w:sz w:val="24"/>
        </w:rPr>
      </w:pPr>
      <w:r>
        <w:rPr>
          <w:rFonts w:ascii="Times New Roman;Times;serif" w:hAnsi="Times New Roman;Times;serif"/>
          <w:b/>
          <w:sz w:val="24"/>
        </w:rPr>
        <w:t>of the Securities Exchange Act of 1934</w:t>
      </w:r>
    </w:p>
    <w:p>
      <w:pPr>
        <w:pStyle w:val="TextBody"/>
        <w:spacing w:before="0" w:after="0"/>
        <w:ind w:left="0" w:right="0" w:hanging="0"/>
        <w:jc w:val="center"/>
        <w:rPr/>
      </w:pPr>
      <w:r>
        <w:rPr/>
        <w:t>​</w:t>
      </w:r>
    </w:p>
    <w:tbl>
      <w:tblPr>
        <w:tblW w:w="7191" w:type="dxa"/>
        <w:jc w:val="left"/>
        <w:tblInd w:w="0" w:type="dxa"/>
        <w:tblCellMar>
          <w:top w:w="0" w:type="dxa"/>
          <w:left w:w="0" w:type="dxa"/>
          <w:bottom w:w="0" w:type="dxa"/>
          <w:right w:w="0" w:type="dxa"/>
        </w:tblCellMar>
      </w:tblPr>
      <w:tblGrid>
        <w:gridCol w:w="3916"/>
        <w:gridCol w:w="3121"/>
        <w:gridCol w:w="154"/>
      </w:tblGrid>
      <w:tr>
        <w:trPr/>
        <w:tc>
          <w:tcPr>
            <w:tcW w:w="39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 the quarterly period ended March 31, 2023</w:t>
            </w:r>
          </w:p>
        </w:tc>
        <w:tc>
          <w:tcPr>
            <w:tcW w:w="31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Commission File Number 001-18761</w:t>
            </w:r>
          </w:p>
        </w:tc>
        <w:tc>
          <w:tcPr>
            <w:tcW w:w="154" w:type="dxa"/>
            <w:tcBorders/>
            <w:shd w:fill="auto" w:val="clear"/>
            <w:vAlign w:val="center"/>
          </w:tcPr>
          <w:p>
            <w:pPr>
              <w:pStyle w:val="TableContents"/>
              <w:spacing w:before="0" w:after="0"/>
              <w:ind w:left="0" w:right="0" w:hanging="0"/>
              <w:jc w:val="right"/>
              <w:rPr/>
            </w:pPr>
            <w:r>
              <w:rPr/>
              <w:t>​</w:t>
            </w:r>
          </w:p>
        </w:tc>
      </w:tr>
    </w:tbl>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8"/>
        </w:rPr>
      </w:pPr>
      <w:r>
        <w:rPr>
          <w:rFonts w:ascii="Times New Roman;Times;serif" w:hAnsi="Times New Roman;Times;serif"/>
          <w:b/>
          <w:sz w:val="28"/>
        </w:rPr>
        <w:t>MONSTER BEVERAGE CORPORATION</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3" w:name="Tc_2FtZsiv-HEaRTUq0EwbhuA_4_2"/>
      <w:bookmarkStart w:id="4" w:name="Tc_h2iCHdidJ0uSdwcxRIjYtg_4_0"/>
      <w:bookmarkStart w:id="5" w:name="Tc_V5NxPstFfEWXpHX_e7DENA_3_2"/>
      <w:bookmarkStart w:id="6" w:name="Tc_G4WKJVHcgEuyq3XVOgZLIg_3_0"/>
      <w:bookmarkStart w:id="7" w:name="_7c34c122_80de_42ce_bdc9_cb651d4bdee5"/>
      <w:bookmarkStart w:id="8" w:name="Tc_2FtZsiv-HEaRTUq0EwbhuA_4_2"/>
      <w:bookmarkStart w:id="9" w:name="Tc_h2iCHdidJ0uSdwcxRIjYtg_4_0"/>
      <w:bookmarkStart w:id="10" w:name="Tc_V5NxPstFfEWXpHX_e7DENA_3_2"/>
      <w:bookmarkStart w:id="11" w:name="Tc_G4WKJVHcgEuyq3XVOgZLIg_3_0"/>
      <w:bookmarkStart w:id="12" w:name="_7c34c122_80de_42ce_bdc9_cb651d4bdee5"/>
      <w:bookmarkEnd w:id="8"/>
      <w:bookmarkEnd w:id="9"/>
      <w:bookmarkEnd w:id="10"/>
      <w:bookmarkEnd w:id="11"/>
      <w:bookmarkEnd w:id="12"/>
    </w:p>
    <w:tbl>
      <w:tblPr>
        <w:tblW w:w="4003" w:type="dxa"/>
        <w:jc w:val="left"/>
        <w:tblInd w:w="0" w:type="dxa"/>
        <w:tblCellMar>
          <w:top w:w="0" w:type="dxa"/>
          <w:left w:w="0" w:type="dxa"/>
          <w:bottom w:w="0" w:type="dxa"/>
          <w:right w:w="0" w:type="dxa"/>
        </w:tblCellMar>
      </w:tblPr>
      <w:tblGrid>
        <w:gridCol w:w="2236"/>
        <w:gridCol w:w="326"/>
        <w:gridCol w:w="1441"/>
      </w:tblGrid>
      <w:tr>
        <w:trPr/>
        <w:tc>
          <w:tcPr>
            <w:tcW w:w="2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41" w:type="dxa"/>
            <w:tcBorders/>
            <w:shd w:fill="auto" w:val="clear"/>
            <w:vAlign w:val="center"/>
          </w:tcPr>
          <w:p>
            <w:pPr>
              <w:pStyle w:val="TableContents"/>
              <w:spacing w:before="0" w:after="283"/>
              <w:ind w:left="0" w:right="0" w:hanging="0"/>
              <w:rPr>
                <w:sz w:val="4"/>
                <w:szCs w:val="4"/>
              </w:rPr>
            </w:pPr>
            <w:r>
              <w:rPr>
                <w:sz w:val="4"/>
                <w:szCs w:val="4"/>
              </w:rPr>
            </w:r>
          </w:p>
        </w:tc>
      </w:tr>
      <w:tr>
        <w:trPr/>
        <w:tc>
          <w:tcPr>
            <w:tcW w:w="22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p>
        </w:tc>
        <w:tc>
          <w:tcPr>
            <w:tcW w:w="1441" w:type="dxa"/>
            <w:tcBorders/>
            <w:shd w:fill="auto" w:val="clear"/>
            <w:vAlign w:val="center"/>
          </w:tcPr>
          <w:p>
            <w:pPr>
              <w:pStyle w:val="TableContents"/>
              <w:spacing w:before="0" w:after="283"/>
              <w:ind w:left="0" w:right="0" w:hanging="0"/>
              <w:rPr>
                <w:sz w:val="4"/>
                <w:szCs w:val="4"/>
              </w:rPr>
            </w:pPr>
            <w:r>
              <w:rPr>
                <w:sz w:val="4"/>
                <w:szCs w:val="4"/>
              </w:rPr>
            </w:r>
          </w:p>
        </w:tc>
      </w:tr>
      <w:tr>
        <w:trPr/>
        <w:tc>
          <w:tcPr>
            <w:tcW w:w="223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Delaware</w:t>
            </w:r>
          </w:p>
        </w:tc>
        <w:tc>
          <w:tcPr>
            <w:tcW w:w="326" w:type="dxa"/>
            <w:tcBorders/>
            <w:shd w:fill="auto" w:val="clear"/>
            <w:vAlign w:val="center"/>
          </w:tcPr>
          <w:p>
            <w:pPr>
              <w:pStyle w:val="TableContents"/>
              <w:spacing w:before="0" w:after="0"/>
              <w:ind w:left="0" w:right="0" w:hanging="0"/>
              <w:rPr/>
            </w:pPr>
            <w:r>
              <w:rPr/>
              <w:t>    </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47-1809393</w:t>
            </w:r>
          </w:p>
        </w:tc>
      </w:tr>
      <w:tr>
        <w:trPr/>
        <w:tc>
          <w:tcPr>
            <w:tcW w:w="22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w:t>
            </w:r>
          </w:p>
        </w:tc>
      </w:tr>
      <w:tr>
        <w:trPr/>
        <w:tc>
          <w:tcPr>
            <w:tcW w:w="2236"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incorporation or organization)</w:t>
            </w:r>
          </w:p>
        </w:tc>
        <w:tc>
          <w:tcPr>
            <w:tcW w:w="326" w:type="dxa"/>
            <w:tcBorders/>
            <w:shd w:fill="auto" w:val="clear"/>
            <w:vAlign w:val="center"/>
          </w:tcPr>
          <w:p>
            <w:pPr>
              <w:pStyle w:val="TableContents"/>
              <w:spacing w:before="0" w:after="0"/>
              <w:ind w:left="0" w:right="0" w:hanging="0"/>
              <w:rPr/>
            </w:pPr>
            <w:r>
              <w:rPr/>
              <w:t>​</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6"/>
              </w:rPr>
            </w:pPr>
            <w:r>
              <w:rPr>
                <w:rFonts w:ascii="Times New Roman;Times;serif" w:hAnsi="Times New Roman;Times;serif"/>
                <w:sz w:val="16"/>
              </w:rPr>
              <w:t>Identification No.)</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1 Monster Way</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Corona, California 92879</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(Zip code)</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(951) 739 - 6200</w:t>
      </w:r>
    </w:p>
    <w:p>
      <w:pPr>
        <w:pStyle w:val="TextBody"/>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spacing w:before="0" w:after="0"/>
        <w:ind w:left="0" w:right="0" w:hanging="0"/>
        <w:jc w:val="center"/>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3" w:name="Tc_05WhoCUB_0iGx_ZkqJezLQ_1_2"/>
      <w:bookmarkStart w:id="14" w:name="Tc_AYpMvWhzDkKACo7lZpjSOg_1_1"/>
      <w:bookmarkStart w:id="15" w:name="Tc_81YLtIsEWEyPq4sFhynrEQ_1_0"/>
      <w:bookmarkStart w:id="16" w:name="_fa178305_9a1f_42a6_93c4_acbfe5acb49e"/>
      <w:bookmarkStart w:id="17" w:name="Tc_05WhoCUB_0iGx_ZkqJezLQ_1_2"/>
      <w:bookmarkStart w:id="18" w:name="Tc_AYpMvWhzDkKACo7lZpjSOg_1_1"/>
      <w:bookmarkStart w:id="19" w:name="Tc_81YLtIsEWEyPq4sFhynrEQ_1_0"/>
      <w:bookmarkStart w:id="20" w:name="_fa178305_9a1f_42a6_93c4_acbfe5acb49e"/>
      <w:bookmarkEnd w:id="17"/>
      <w:bookmarkEnd w:id="18"/>
      <w:bookmarkEnd w:id="19"/>
      <w:bookmarkEnd w:id="20"/>
    </w:p>
    <w:tbl>
      <w:tblPr>
        <w:tblW w:w="6903" w:type="dxa"/>
        <w:jc w:val="left"/>
        <w:tblInd w:w="0" w:type="dxa"/>
        <w:tblCellMar>
          <w:top w:w="0" w:type="dxa"/>
          <w:left w:w="0" w:type="dxa"/>
          <w:bottom w:w="0" w:type="dxa"/>
          <w:right w:w="0" w:type="dxa"/>
        </w:tblCellMar>
      </w:tblPr>
      <w:tblGrid>
        <w:gridCol w:w="1576"/>
        <w:gridCol w:w="1621"/>
        <w:gridCol w:w="3706"/>
      </w:tblGrid>
      <w:tr>
        <w:trPr/>
        <w:tc>
          <w:tcPr>
            <w:tcW w:w="15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000760" cy="29210"/>
                      <wp:effectExtent l="0" t="0" r="0" b="0"/>
                      <wp:wrapNone/>
                      <wp:docPr id="1" name="Frame1"/>
                      <a:graphic xmlns:a="http://schemas.openxmlformats.org/drawingml/2006/main">
                        <a:graphicData uri="http://schemas.microsoft.com/office/word/2010/wordprocessingShape">
                          <wps:wsp>
                            <wps:cNvSpPr txBox="1"/>
                            <wps:spPr>
                              <a:xfrm>
                                <a:off x="0" y="0"/>
                                <a:ext cx="100076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029335" cy="29210"/>
                      <wp:effectExtent l="0" t="0" r="0" b="0"/>
                      <wp:wrapNone/>
                      <wp:docPr id="2" name="Frame2"/>
                      <a:graphic xmlns:a="http://schemas.openxmlformats.org/drawingml/2006/main">
                        <a:graphicData uri="http://schemas.microsoft.com/office/word/2010/wordprocessingShape">
                          <wps:wsp>
                            <wps:cNvSpPr txBox="1"/>
                            <wps:spPr>
                              <a:xfrm>
                                <a:off x="0" y="0"/>
                                <a:ext cx="102933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7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53310" cy="29210"/>
                      <wp:effectExtent l="0" t="0" r="0" b="0"/>
                      <wp:wrapNone/>
                      <wp:docPr id="3" name="Frame3"/>
                      <a:graphic xmlns:a="http://schemas.openxmlformats.org/drawingml/2006/main">
                        <a:graphicData uri="http://schemas.microsoft.com/office/word/2010/wordprocessingShape">
                          <wps:wsp>
                            <wps:cNvSpPr txBox="1"/>
                            <wps:spPr>
                              <a:xfrm>
                                <a:off x="0" y="0"/>
                                <a:ext cx="23533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157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1576" w:type="dxa"/>
            <w:tcBorders>
              <w:top w:val="single" w:sz="2" w:space="0" w:color="000000"/>
              <w:left w:val="single" w:sz="2" w:space="0" w:color="000000"/>
              <w:bottom w:val="single" w:sz="2" w:space="0" w:color="000000"/>
              <w:right w:val="single" w:sz="2" w:space="0" w:color="000000"/>
            </w:tcBorders>
            <w:shd w:fill="auto" w:val="clear"/>
            <w:tcMar>
              <w:top w:w="28" w:type="dxa"/>
              <w:left w:w="28" w:type="dxa"/>
              <w:bottom w:w="28" w:type="dxa"/>
              <w:right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w:t>
            </w:r>
          </w:p>
        </w:tc>
        <w:tc>
          <w:tcPr>
            <w:tcW w:w="1621"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MNST</w:t>
            </w:r>
          </w:p>
        </w:tc>
        <w:tc>
          <w:tcPr>
            <w:tcW w:w="3706" w:type="dxa"/>
            <w:tcBorders>
              <w:top w:val="single" w:sz="2" w:space="0" w:color="000000"/>
              <w:bottom w:val="single" w:sz="2" w:space="0" w:color="000000"/>
              <w:right w:val="single" w:sz="2" w:space="0" w:color="000000"/>
            </w:tcBorders>
            <w:shd w:fill="auto" w:val="clear"/>
            <w:tcMar>
              <w:top w:w="28" w:type="dxa"/>
              <w:bottom w:w="28" w:type="dxa"/>
              <w:right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Yes  X    No __</w:t>
      </w:r>
    </w:p>
    <w:p>
      <w:pPr>
        <w:pStyle w:val="TextBody"/>
        <w:spacing w:before="0" w:after="0"/>
        <w:ind w:left="0" w:right="0" w:hanging="0"/>
        <w:jc w:val="center"/>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firstLine="720"/>
        <w:jc w:val="both"/>
        <w:rPr/>
      </w:pPr>
      <w:r>
        <w:rPr/>
        <w:t>​</w:t>
      </w:r>
    </w:p>
    <w:tbl>
      <w:tblPr>
        <w:tblW w:w="4725" w:type="dxa"/>
        <w:jc w:val="left"/>
        <w:tblInd w:w="0" w:type="dxa"/>
        <w:tblCellMar>
          <w:top w:w="0" w:type="dxa"/>
          <w:left w:w="0" w:type="dxa"/>
          <w:bottom w:w="0" w:type="dxa"/>
          <w:right w:w="0" w:type="dxa"/>
        </w:tblCellMar>
      </w:tblPr>
      <w:tblGrid>
        <w:gridCol w:w="1141"/>
        <w:gridCol w:w="1004"/>
        <w:gridCol w:w="1068"/>
        <w:gridCol w:w="1512"/>
      </w:tblGrid>
      <w:tr>
        <w:trPr/>
        <w:tc>
          <w:tcPr>
            <w:tcW w:w="1141" w:type="dxa"/>
            <w:tcBorders/>
            <w:shd w:fill="auto" w:val="clear"/>
            <w:vAlign w:val="center"/>
          </w:tcPr>
          <w:p>
            <w:pPr>
              <w:pStyle w:val="TableContents"/>
              <w:spacing w:before="0" w:after="0"/>
              <w:ind w:left="0" w:right="0" w:hanging="0"/>
              <w:rPr/>
            </w:pPr>
            <w:r>
              <w:rPr/>
              <w:t>​</w:t>
            </w:r>
          </w:p>
        </w:tc>
        <w:tc>
          <w:tcPr>
            <w:tcW w:w="1004" w:type="dxa"/>
            <w:tcBorders/>
            <w:shd w:fill="auto" w:val="clear"/>
            <w:vAlign w:val="center"/>
          </w:tcPr>
          <w:p>
            <w:pPr>
              <w:pStyle w:val="TableContents"/>
              <w:spacing w:before="0" w:after="0"/>
              <w:ind w:left="0" w:right="0" w:hanging="0"/>
              <w:rPr/>
            </w:pPr>
            <w:r>
              <w:rPr/>
              <w:t>​</w:t>
            </w:r>
          </w:p>
        </w:tc>
        <w:tc>
          <w:tcPr>
            <w:tcW w:w="1068" w:type="dxa"/>
            <w:tcBorders/>
            <w:shd w:fill="auto" w:val="clear"/>
            <w:vAlign w:val="center"/>
          </w:tcPr>
          <w:p>
            <w:pPr>
              <w:pStyle w:val="TableContents"/>
              <w:spacing w:before="0" w:after="0"/>
              <w:ind w:left="0" w:right="0" w:hanging="0"/>
              <w:rPr/>
            </w:pPr>
            <w:r>
              <w:rPr/>
              <w:t>​</w:t>
            </w:r>
          </w:p>
        </w:tc>
        <w:tc>
          <w:tcPr>
            <w:tcW w:w="1512" w:type="dxa"/>
            <w:tcBorders/>
            <w:shd w:fill="auto" w:val="clear"/>
            <w:vAlign w:val="center"/>
          </w:tcPr>
          <w:p>
            <w:pPr>
              <w:pStyle w:val="TableContents"/>
              <w:spacing w:before="0" w:after="0"/>
              <w:ind w:left="0" w:right="0" w:hanging="0"/>
              <w:rPr/>
            </w:pPr>
            <w:r>
              <w:rPr/>
              <w:t>​</w:t>
            </w:r>
          </w:p>
        </w:tc>
      </w:tr>
      <w:tr>
        <w:trPr/>
        <w:tc>
          <w:tcPr>
            <w:tcW w:w="214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Large accelerated filer ☒</w:t>
            </w:r>
          </w:p>
        </w:tc>
        <w:tc>
          <w:tcPr>
            <w:tcW w:w="258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Accelerated filer ☐</w:t>
            </w:r>
          </w:p>
        </w:tc>
      </w:tr>
      <w:tr>
        <w:trPr/>
        <w:tc>
          <w:tcPr>
            <w:tcW w:w="2145"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Non-accelerated filer ☐</w:t>
            </w:r>
          </w:p>
        </w:tc>
        <w:tc>
          <w:tcPr>
            <w:tcW w:w="258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Smaller reporting company ☐</w:t>
            </w:r>
          </w:p>
        </w:tc>
      </w:tr>
      <w:tr>
        <w:trPr/>
        <w:tc>
          <w:tcPr>
            <w:tcW w:w="2145" w:type="dxa"/>
            <w:gridSpan w:val="2"/>
            <w:tcBorders/>
            <w:shd w:fill="auto" w:val="clear"/>
            <w:vAlign w:val="center"/>
          </w:tcPr>
          <w:p>
            <w:pPr>
              <w:pStyle w:val="TableContents"/>
              <w:spacing w:before="0" w:after="0"/>
              <w:ind w:left="0" w:right="0" w:hanging="0"/>
              <w:rPr/>
            </w:pPr>
            <w:r>
              <w:rPr/>
              <w:t>​</w:t>
            </w:r>
          </w:p>
        </w:tc>
        <w:tc>
          <w:tcPr>
            <w:tcW w:w="2580" w:type="dxa"/>
            <w:gridSpan w:val="2"/>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Emerging growth company ☐</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Yes __    No X</w:t>
      </w:r>
    </w:p>
    <w:p>
      <w:pPr>
        <w:pStyle w:val="TextBody"/>
        <w:spacing w:before="0" w:after="0"/>
        <w:ind w:left="0" w:right="0" w:hanging="0"/>
        <w:jc w:val="center"/>
        <w:rPr/>
      </w:pPr>
      <w:r>
        <w:rPr/>
        <w:t>​</w:t>
      </w:r>
    </w:p>
    <w:p>
      <w:pPr>
        <w:pStyle w:val="TextBody"/>
        <w:spacing w:before="0" w:after="0"/>
        <w:ind w:left="0" w:right="0" w:firstLine="720"/>
        <w:rPr>
          <w:rFonts w:ascii="Times New Roman;Times;serif" w:hAnsi="Times New Roman;Times;serif"/>
          <w:sz w:val="20"/>
        </w:rPr>
      </w:pPr>
      <w:r>
        <w:rPr>
          <w:rFonts w:ascii="Times New Roman;Times;serif" w:hAnsi="Times New Roman;Times;serif"/>
          <w:sz w:val="20"/>
        </w:rPr>
        <w:t>The registrant had 1,046,711,932 shares of common stock, par value $0.005 per share, outstanding as of April 28, 2023.</w:t>
      </w:r>
    </w:p>
    <w:p>
      <w:pPr>
        <w:pStyle w:val="TextBody"/>
        <w:spacing w:before="0" w:after="0"/>
        <w:ind w:left="0" w:right="0" w:hanging="0"/>
        <w:rPr/>
      </w:pPr>
      <w:r>
        <w:rPr/>
        <w:t>​</w:t>
      </w:r>
    </w:p>
    <w:p>
      <w:pPr>
        <w:pStyle w:val="TextBody"/>
        <w:pBdr>
          <w:top w:val="single" w:sz="2" w:space="1" w:color="000000"/>
          <w:bottom w:val="single" w:sz="24" w:space="1" w:color="000000"/>
        </w:pBdr>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jc w:val="center"/>
        <w:rPr>
          <w:rFonts w:ascii="Times New Roman;Times;serif" w:hAnsi="Times New Roman;Times;serif"/>
          <w:b/>
          <w:sz w:val="20"/>
        </w:rPr>
      </w:pPr>
      <w:bookmarkStart w:id="21" w:name="_b5e58c08_5446_4e36_abf2_316b5eb5a4bf"/>
      <w:bookmarkEnd w:id="21"/>
      <w:r>
        <w:rPr>
          <w:rFonts w:ascii="Times New Roman;Times;serif" w:hAnsi="Times New Roman;Times;serif"/>
          <w:b/>
          <w:sz w:val="20"/>
        </w:rPr>
        <w:t>MONSTER BEVERAGE CORPORATION AND SUBSIDIARIES</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2023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b/>
          <w:sz w:val="20"/>
        </w:rPr>
      </w:pPr>
      <w:bookmarkStart w:id="22" w:name="TOC"/>
      <w:bookmarkEnd w:id="22"/>
      <w:r>
        <w:rPr>
          <w:rFonts w:ascii="Times New Roman;Times;serif" w:hAnsi="Times New Roman;Times;serif"/>
          <w:b/>
          <w:sz w:val="20"/>
        </w:rPr>
        <w:t>INDEX</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754"/>
        <w:gridCol w:w="8282"/>
        <w:gridCol w:w="326"/>
        <w:gridCol w:w="843"/>
      </w:tblGrid>
      <w:tr>
        <w:trPr/>
        <w:tc>
          <w:tcPr>
            <w:tcW w:w="7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8790" cy="175260"/>
                      <wp:effectExtent l="0" t="0" r="0" b="0"/>
                      <wp:wrapNone/>
                      <wp:docPr id="4" name="Frame4"/>
                      <a:graphic xmlns:a="http://schemas.openxmlformats.org/drawingml/2006/main">
                        <a:graphicData uri="http://schemas.microsoft.com/office/word/2010/wordprocessingShape">
                          <wps:wsp>
                            <wps:cNvSpPr txBox="1"/>
                            <wps:spPr>
                              <a:xfrm>
                                <a:off x="0" y="0"/>
                                <a:ext cx="478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8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5259070" cy="175260"/>
                      <wp:effectExtent l="0" t="0" r="0" b="0"/>
                      <wp:wrapNone/>
                      <wp:docPr id="5" name="Frame5"/>
                      <a:graphic xmlns:a="http://schemas.openxmlformats.org/drawingml/2006/main">
                        <a:graphicData uri="http://schemas.microsoft.com/office/word/2010/wordprocessingShape">
                          <wps:wsp>
                            <wps:cNvSpPr txBox="1"/>
                            <wps:spPr>
                              <a:xfrm>
                                <a:off x="0" y="0"/>
                                <a:ext cx="52590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0"/>
              <w:ind w:left="0" w:right="0" w:hanging="0"/>
              <w:rPr/>
            </w:pPr>
            <w:r>
              <w:rPr/>
              <w:t>​</w:t>
            </w:r>
          </w:p>
        </w:tc>
        <w:tc>
          <w:tcPr>
            <w:tcW w:w="8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35305" cy="175260"/>
                      <wp:effectExtent l="0" t="0" r="0" b="0"/>
                      <wp:wrapNone/>
                      <wp:docPr id="6" name="Frame6"/>
                      <a:graphic xmlns:a="http://schemas.openxmlformats.org/drawingml/2006/main">
                        <a:graphicData uri="http://schemas.microsoft.com/office/word/2010/wordprocessingShape">
                          <wps:wsp>
                            <wps:cNvSpPr txBox="1"/>
                            <wps:spPr>
                              <a:xfrm>
                                <a:off x="0" y="0"/>
                                <a:ext cx="535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54" w:type="dxa"/>
            <w:tcBorders/>
            <w:shd w:fill="auto" w:val="clear"/>
            <w:vAlign w:val="center"/>
          </w:tcPr>
          <w:p>
            <w:pPr>
              <w:pStyle w:val="TableContents"/>
              <w:pBdr/>
              <w:spacing w:before="0" w:after="0"/>
              <w:ind w:left="0" w:right="0" w:hanging="0"/>
              <w:rPr/>
            </w:pPr>
            <w:hyperlink w:anchor="PARTIFINANCIALINFORMATION_555950">
              <w:r>
                <w:rPr>
                  <w:rStyle w:val="InternetLink"/>
                  <w:rFonts w:ascii="Times New Roman;Times;serif" w:hAnsi="Times New Roman;Times;serif"/>
                  <w:b/>
                  <w:i w:val="false"/>
                  <w:caps w:val="false"/>
                  <w:smallCaps w:val="false"/>
                  <w:sz w:val="20"/>
                </w:rPr>
                <w:t>Part I.</w:t>
              </w:r>
            </w:hyperlink>
          </w:p>
        </w:tc>
        <w:tc>
          <w:tcPr>
            <w:tcW w:w="8282" w:type="dxa"/>
            <w:tcBorders/>
            <w:shd w:fill="auto" w:val="clear"/>
            <w:vAlign w:val="center"/>
          </w:tcPr>
          <w:p>
            <w:pPr>
              <w:pStyle w:val="TableContents"/>
              <w:spacing w:before="0" w:after="0"/>
              <w:ind w:left="0" w:right="0" w:hanging="0"/>
              <w:jc w:val="both"/>
              <w:rPr/>
            </w:pPr>
            <w:hyperlink w:anchor="PARTIFINANCIALINFORMATION_555950">
              <w:r>
                <w:rPr>
                  <w:rStyle w:val="InternetLink"/>
                  <w:rFonts w:ascii="Times New Roman;Times;serif" w:hAnsi="Times New Roman;Times;serif"/>
                  <w:b/>
                  <w:i w:val="false"/>
                  <w:caps w:val="false"/>
                  <w:smallCaps w:val="false"/>
                  <w:sz w:val="20"/>
                </w:rPr>
                <w:t>FINANCIAL INFORMATION</w:t>
              </w:r>
            </w:hyperlink>
          </w:p>
        </w:tc>
        <w:tc>
          <w:tcPr>
            <w:tcW w:w="326" w:type="dxa"/>
            <w:tcBorders/>
            <w:shd w:fill="auto" w:val="clear"/>
            <w:vAlign w:val="center"/>
          </w:tcPr>
          <w:p>
            <w:pPr>
              <w:pStyle w:val="TableContents"/>
              <w:spacing w:before="0" w:after="0"/>
              <w:ind w:left="0" w:right="0" w:hanging="0"/>
              <w:jc w:val="center"/>
              <w:rPr/>
            </w:pPr>
            <w:r>
              <w:rPr/>
              <w:t>    </w:t>
            </w:r>
          </w:p>
        </w:tc>
        <w:tc>
          <w:tcPr>
            <w:tcW w:w="843"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 No.</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top w:val="single" w:sz="2" w:space="0" w:color="000000"/>
            </w:tcBorders>
            <w:shd w:fill="auto" w:val="clear"/>
            <w:tcMar>
              <w:top w:w="28" w:type="dxa"/>
            </w:tcM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1CONDENSEDCONSOLIDATEDFINANCIALSTATE">
              <w:r>
                <w:rPr>
                  <w:rStyle w:val="InternetLink"/>
                  <w:rFonts w:ascii="Times New Roman;Times;serif" w:hAnsi="Times New Roman;Times;serif"/>
                  <w:b w:val="false"/>
                  <w:i w:val="false"/>
                  <w:caps w:val="false"/>
                  <w:smallCaps w:val="false"/>
                  <w:sz w:val="20"/>
                </w:rPr>
                <w:t>Item 1.</w:t>
              </w:r>
            </w:hyperlink>
          </w:p>
        </w:tc>
        <w:tc>
          <w:tcPr>
            <w:tcW w:w="8282" w:type="dxa"/>
            <w:tcBorders/>
            <w:shd w:fill="auto" w:val="clear"/>
            <w:vAlign w:val="center"/>
          </w:tcPr>
          <w:p>
            <w:pPr>
              <w:pStyle w:val="TableContents"/>
              <w:spacing w:before="0" w:after="0"/>
              <w:ind w:left="0" w:right="0" w:hanging="0"/>
              <w:jc w:val="both"/>
              <w:rPr/>
            </w:pPr>
            <w:hyperlink w:anchor="ITEM1CONDENSEDCONSOLIDATEDFINANCIALSTATE">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CONDENSEDCONSOLIDATEDBALANCESHEETS_69653">
              <w:r>
                <w:rPr>
                  <w:rStyle w:val="InternetLink"/>
                  <w:rFonts w:ascii="Times New Roman;Times;serif" w:hAnsi="Times New Roman;Times;serif"/>
                  <w:b w:val="false"/>
                  <w:i w:val="false"/>
                  <w:caps w:val="false"/>
                  <w:smallCaps w:val="false"/>
                  <w:sz w:val="20"/>
                </w:rPr>
                <w:t>Condensed Consolidated Balance Sheets as of March 31, 2023 and December 31, 2022</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STATEMENTSOFINCOME_393941">
              <w:r>
                <w:rPr>
                  <w:rStyle w:val="InternetLink"/>
                  <w:rFonts w:ascii="Times New Roman;Times;serif" w:hAnsi="Times New Roman;Times;serif"/>
                  <w:b w:val="false"/>
                  <w:i w:val="false"/>
                  <w:caps w:val="false"/>
                  <w:smallCaps w:val="false"/>
                  <w:sz w:val="20"/>
                </w:rPr>
                <w:t>Condensed Consolidated Statements of Income for the Three-Months Ended March 31, 2023 and 2022</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STATEMENTSOFCOMPREHENSIVEINCOME_19420">
              <w:r>
                <w:rPr>
                  <w:rStyle w:val="InternetLink"/>
                  <w:rFonts w:ascii="Times New Roman;Times;serif" w:hAnsi="Times New Roman;Times;serif"/>
                  <w:b w:val="false"/>
                  <w:i w:val="false"/>
                  <w:caps w:val="false"/>
                  <w:smallCaps w:val="false"/>
                  <w:sz w:val="20"/>
                </w:rPr>
                <w:t>Condensed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Consolidated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Statements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of</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Comprehensive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Income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for the</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Three-Months</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Ended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March 31, 2023</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and</w:t>
              </w:r>
            </w:hyperlink>
            <w:hyperlink w:anchor="STATEMENTSOFCOMPREHENSIVEINCOME_19420">
              <w:r>
                <w:rPr>
                  <w:rStyle w:val="InternetLink"/>
                  <w:rFonts w:ascii="Times New Roman;Times;serif" w:hAnsi="Times New Roman;Times;serif"/>
                  <w:caps w:val="false"/>
                  <w:smallCaps w:val="false"/>
                  <w:sz w:val="20"/>
                </w:rPr>
                <w:t xml:space="preserve"> </w:t>
              </w:r>
            </w:hyperlink>
            <w:hyperlink w:anchor="STATEMENTSOFCOMPREHENSIVEINCOME_19420">
              <w:r>
                <w:rPr>
                  <w:rStyle w:val="InternetLink"/>
                  <w:rFonts w:ascii="Times New Roman;Times;serif" w:hAnsi="Times New Roman;Times;serif"/>
                  <w:b w:val="false"/>
                  <w:i w:val="false"/>
                  <w:caps w:val="false"/>
                  <w:smallCaps w:val="false"/>
                  <w:sz w:val="20"/>
                </w:rPr>
                <w:t>2022</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STATEMENTSOFSTOCKHOLDERSEQUITY_603690">
              <w:r>
                <w:rPr>
                  <w:rStyle w:val="InternetLink"/>
                  <w:rFonts w:ascii="Times New Roman;Times;serif" w:hAnsi="Times New Roman;Times;serif"/>
                  <w:b w:val="false"/>
                  <w:i w:val="false"/>
                  <w:caps w:val="false"/>
                  <w:smallCaps w:val="false"/>
                  <w:sz w:val="20"/>
                </w:rPr>
                <w:t>Condensed Consolidated Statements of Stockholders’ Equity for the Three-Months Ended March 31, 2023 and 2022</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STATEMENTSOFCASHFLOWS_392736">
              <w:r>
                <w:rPr>
                  <w:rStyle w:val="InternetLink"/>
                  <w:rFonts w:ascii="Times New Roman;Times;serif" w:hAnsi="Times New Roman;Times;serif"/>
                  <w:b w:val="false"/>
                  <w:i w:val="false"/>
                  <w:caps w:val="false"/>
                  <w:smallCaps w:val="false"/>
                  <w:sz w:val="20"/>
                </w:rPr>
                <w:t>Condensed Consolidated Statements of Cash Flows for the Three-Months Ended March 31, 2023 and 2022</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a1BASISOFPRESENTATION_156061">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2MANAGEMENTSDISCUSSIONANDANALYSIS_40">
              <w:r>
                <w:rPr>
                  <w:rStyle w:val="InternetLink"/>
                  <w:rFonts w:ascii="Times New Roman;Times;serif" w:hAnsi="Times New Roman;Times;serif"/>
                  <w:b w:val="false"/>
                  <w:i w:val="false"/>
                  <w:caps w:val="false"/>
                  <w:smallCaps w:val="false"/>
                  <w:sz w:val="20"/>
                </w:rPr>
                <w:t>Item 2.</w:t>
              </w:r>
            </w:hyperlink>
          </w:p>
        </w:tc>
        <w:tc>
          <w:tcPr>
            <w:tcW w:w="8282" w:type="dxa"/>
            <w:tcBorders/>
            <w:shd w:fill="auto" w:val="clear"/>
            <w:vAlign w:val="center"/>
          </w:tcPr>
          <w:p>
            <w:pPr>
              <w:pStyle w:val="TableContents"/>
              <w:spacing w:before="0" w:after="0"/>
              <w:ind w:left="0" w:right="0" w:hanging="0"/>
              <w:jc w:val="both"/>
              <w:rPr/>
            </w:pPr>
            <w:hyperlink w:anchor="ITEM2MANAGEMENTSDISCUSSIONANDANALYSIS_40">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282" w:type="dxa"/>
            <w:tcBorders/>
            <w:shd w:fill="auto" w:val="clear"/>
            <w:vAlign w:val="center"/>
          </w:tcPr>
          <w:p>
            <w:pPr>
              <w:pStyle w:val="TableContents"/>
              <w:spacing w:before="0" w:after="0"/>
              <w:ind w:left="0" w:right="0" w:hanging="0"/>
              <w:jc w:val="both"/>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4CONTROLSANDPROCEDURES_270637">
              <w:r>
                <w:rPr>
                  <w:rStyle w:val="InternetLink"/>
                  <w:rFonts w:ascii="Times New Roman;Times;serif" w:hAnsi="Times New Roman;Times;serif"/>
                  <w:b w:val="false"/>
                  <w:i w:val="false"/>
                  <w:caps w:val="false"/>
                  <w:smallCaps w:val="false"/>
                  <w:sz w:val="20"/>
                </w:rPr>
                <w:t>Item 4.</w:t>
              </w:r>
            </w:hyperlink>
          </w:p>
        </w:tc>
        <w:tc>
          <w:tcPr>
            <w:tcW w:w="8282" w:type="dxa"/>
            <w:tcBorders/>
            <w:shd w:fill="auto" w:val="clear"/>
            <w:vAlign w:val="center"/>
          </w:tcPr>
          <w:p>
            <w:pPr>
              <w:pStyle w:val="TableContents"/>
              <w:spacing w:before="0" w:after="0"/>
              <w:ind w:left="0" w:right="0" w:hanging="0"/>
              <w:jc w:val="both"/>
              <w:rPr/>
            </w:pPr>
            <w:hyperlink w:anchor="ITEM4CONTROLSANDPROCEDURES_270637">
              <w:r>
                <w:rPr>
                  <w:rStyle w:val="InternetLink"/>
                  <w:rFonts w:ascii="Times New Roman;Times;serif" w:hAnsi="Times New Roman;Times;serif"/>
                  <w:b w:val="false"/>
                  <w:i w:val="false"/>
                  <w:caps w:val="false"/>
                  <w:smallCaps w:val="false"/>
                  <w:sz w:val="20"/>
                </w:rPr>
                <w:t>Controls and Procedures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PARTIIOTHERINFORMATION_669833">
              <w:r>
                <w:rPr>
                  <w:rStyle w:val="InternetLink"/>
                  <w:rFonts w:ascii="Times New Roman;Times;serif" w:hAnsi="Times New Roman;Times;serif"/>
                  <w:b/>
                  <w:i w:val="false"/>
                  <w:caps w:val="false"/>
                  <w:smallCaps w:val="false"/>
                  <w:sz w:val="20"/>
                </w:rPr>
                <w:t>Part II.</w:t>
              </w:r>
            </w:hyperlink>
          </w:p>
        </w:tc>
        <w:tc>
          <w:tcPr>
            <w:tcW w:w="8282" w:type="dxa"/>
            <w:tcBorders/>
            <w:shd w:fill="auto" w:val="clear"/>
            <w:vAlign w:val="center"/>
          </w:tcPr>
          <w:p>
            <w:pPr>
              <w:pStyle w:val="TableContents"/>
              <w:spacing w:before="0" w:after="0"/>
              <w:ind w:left="0" w:right="0" w:hanging="0"/>
              <w:jc w:val="both"/>
              <w:rPr/>
            </w:pPr>
            <w:hyperlink w:anchor="PARTIIOTHERINFORMATION_669833">
              <w:r>
                <w:rPr>
                  <w:rStyle w:val="InternetLink"/>
                  <w:rFonts w:ascii="Times New Roman;Times;serif" w:hAnsi="Times New Roman;Times;serif"/>
                  <w:b/>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1LEGALPROCEEDINGS_448899">
              <w:r>
                <w:rPr>
                  <w:rStyle w:val="InternetLink"/>
                  <w:rFonts w:ascii="Times New Roman;Times;serif" w:hAnsi="Times New Roman;Times;serif"/>
                  <w:b w:val="false"/>
                  <w:i w:val="false"/>
                  <w:caps w:val="false"/>
                  <w:smallCaps w:val="false"/>
                  <w:sz w:val="20"/>
                </w:rPr>
                <w:t>Item 1.</w:t>
              </w:r>
            </w:hyperlink>
          </w:p>
        </w:tc>
        <w:tc>
          <w:tcPr>
            <w:tcW w:w="8282" w:type="dxa"/>
            <w:tcBorders/>
            <w:shd w:fill="auto" w:val="clear"/>
            <w:vAlign w:val="center"/>
          </w:tcPr>
          <w:p>
            <w:pPr>
              <w:pStyle w:val="TableContents"/>
              <w:spacing w:before="0" w:after="0"/>
              <w:ind w:left="0" w:right="0" w:hanging="0"/>
              <w:jc w:val="both"/>
              <w:rPr/>
            </w:pPr>
            <w:hyperlink w:anchor="ITEM1LEGALPROCEEDINGS_448899">
              <w:r>
                <w:rPr>
                  <w:rStyle w:val="InternetLink"/>
                  <w:rFonts w:ascii="Times New Roman;Times;serif" w:hAnsi="Times New Roman;Times;serif"/>
                  <w:b w:val="false"/>
                  <w:i w:val="false"/>
                  <w:caps w:val="false"/>
                  <w:smallCaps w:val="false"/>
                  <w:sz w:val="20"/>
                </w:rPr>
                <w:t>Legal Proceedings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1ARISKFACTORS_609704">
              <w:r>
                <w:rPr>
                  <w:rStyle w:val="InternetLink"/>
                  <w:rFonts w:ascii="Times New Roman;Times;serif" w:hAnsi="Times New Roman;Times;serif"/>
                  <w:b w:val="false"/>
                  <w:i w:val="false"/>
                  <w:caps w:val="false"/>
                  <w:smallCaps w:val="false"/>
                  <w:sz w:val="20"/>
                </w:rPr>
                <w:t>Item 1A.</w:t>
              </w:r>
            </w:hyperlink>
          </w:p>
        </w:tc>
        <w:tc>
          <w:tcPr>
            <w:tcW w:w="8282" w:type="dxa"/>
            <w:tcBorders/>
            <w:shd w:fill="auto" w:val="clear"/>
            <w:vAlign w:val="center"/>
          </w:tcPr>
          <w:p>
            <w:pPr>
              <w:pStyle w:val="TableContents"/>
              <w:spacing w:before="0" w:after="0"/>
              <w:ind w:left="0" w:right="0" w:hanging="0"/>
              <w:jc w:val="both"/>
              <w:rPr/>
            </w:pPr>
            <w:hyperlink w:anchor="ITEM1ARISKFACTORS_609704">
              <w:r>
                <w:rPr>
                  <w:rStyle w:val="InternetLink"/>
                  <w:rFonts w:ascii="Times New Roman;Times;serif" w:hAnsi="Times New Roman;Times;serif"/>
                  <w:b w:val="false"/>
                  <w:i w:val="false"/>
                  <w:caps w:val="false"/>
                  <w:smallCaps w:val="false"/>
                  <w:sz w:val="20"/>
                </w:rPr>
                <w:t>Risk Factors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2UNREGISTEREDSALESOFEQUITY_417570">
              <w:r>
                <w:rPr>
                  <w:rStyle w:val="InternetLink"/>
                  <w:rFonts w:ascii="Times New Roman;Times;serif" w:hAnsi="Times New Roman;Times;serif"/>
                  <w:b w:val="false"/>
                  <w:i w:val="false"/>
                  <w:caps w:val="false"/>
                  <w:smallCaps w:val="false"/>
                  <w:sz w:val="20"/>
                </w:rPr>
                <w:t>Item 2.</w:t>
              </w:r>
            </w:hyperlink>
          </w:p>
        </w:tc>
        <w:tc>
          <w:tcPr>
            <w:tcW w:w="8282" w:type="dxa"/>
            <w:tcBorders/>
            <w:shd w:fill="auto" w:val="clear"/>
            <w:vAlign w:val="center"/>
          </w:tcPr>
          <w:p>
            <w:pPr>
              <w:pStyle w:val="TableContents"/>
              <w:spacing w:before="0" w:after="0"/>
              <w:ind w:left="0" w:right="0" w:hanging="0"/>
              <w:jc w:val="both"/>
              <w:rPr/>
            </w:pPr>
            <w:hyperlink w:anchor="ITEM2UNREGISTEREDSALESOFEQUITY_417570">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3DEFAULTSUPONSENIORSECURITIES_753663">
              <w:r>
                <w:rPr>
                  <w:rStyle w:val="InternetLink"/>
                  <w:rFonts w:ascii="Times New Roman;Times;serif" w:hAnsi="Times New Roman;Times;serif"/>
                  <w:b w:val="false"/>
                  <w:i w:val="false"/>
                  <w:caps w:val="false"/>
                  <w:smallCaps w:val="false"/>
                  <w:sz w:val="20"/>
                </w:rPr>
                <w:t>Item 3.</w:t>
              </w:r>
            </w:hyperlink>
          </w:p>
        </w:tc>
        <w:tc>
          <w:tcPr>
            <w:tcW w:w="8282" w:type="dxa"/>
            <w:tcBorders/>
            <w:shd w:fill="auto" w:val="clear"/>
            <w:vAlign w:val="center"/>
          </w:tcPr>
          <w:p>
            <w:pPr>
              <w:pStyle w:val="TableContents"/>
              <w:spacing w:before="0" w:after="0"/>
              <w:ind w:left="0" w:right="0" w:hanging="0"/>
              <w:jc w:val="both"/>
              <w:rPr/>
            </w:pPr>
            <w:hyperlink w:anchor="ITEM3DEFAULTSUPONSENIORSECURITIES_75366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4MINESAFETYDISCLOSURES_417702">
              <w:r>
                <w:rPr>
                  <w:rStyle w:val="InternetLink"/>
                  <w:rFonts w:ascii="Times New Roman;Times;serif" w:hAnsi="Times New Roman;Times;serif"/>
                  <w:b w:val="false"/>
                  <w:i w:val="false"/>
                  <w:caps w:val="false"/>
                  <w:smallCaps w:val="false"/>
                  <w:sz w:val="20"/>
                </w:rPr>
                <w:t>Item 4.</w:t>
              </w:r>
            </w:hyperlink>
          </w:p>
        </w:tc>
        <w:tc>
          <w:tcPr>
            <w:tcW w:w="8282" w:type="dxa"/>
            <w:tcBorders/>
            <w:shd w:fill="auto" w:val="clear"/>
            <w:vAlign w:val="center"/>
          </w:tcPr>
          <w:p>
            <w:pPr>
              <w:pStyle w:val="TableContents"/>
              <w:spacing w:before="0" w:after="0"/>
              <w:ind w:left="0" w:right="0" w:hanging="0"/>
              <w:jc w:val="both"/>
              <w:rPr/>
            </w:pPr>
            <w:hyperlink w:anchor="ITEM4MINESAFETYDISCLOSURES_417702">
              <w:r>
                <w:rPr>
                  <w:rStyle w:val="InternetLink"/>
                  <w:rFonts w:ascii="Times New Roman;Times;serif" w:hAnsi="Times New Roman;Times;serif"/>
                  <w:b w:val="false"/>
                  <w:i w:val="false"/>
                  <w:caps w:val="false"/>
                  <w:smallCaps w:val="false"/>
                  <w:sz w:val="20"/>
                </w:rPr>
                <w:t>Mine Safety Disclosures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5OTHERINFORMATION_353440">
              <w:r>
                <w:rPr>
                  <w:rStyle w:val="InternetLink"/>
                  <w:rFonts w:ascii="Times New Roman;Times;serif" w:hAnsi="Times New Roman;Times;serif"/>
                  <w:b w:val="false"/>
                  <w:i w:val="false"/>
                  <w:caps w:val="false"/>
                  <w:smallCaps w:val="false"/>
                  <w:sz w:val="20"/>
                </w:rPr>
                <w:t>Item 5.</w:t>
              </w:r>
            </w:hyperlink>
          </w:p>
        </w:tc>
        <w:tc>
          <w:tcPr>
            <w:tcW w:w="8282" w:type="dxa"/>
            <w:tcBorders/>
            <w:shd w:fill="auto" w:val="clear"/>
            <w:vAlign w:val="center"/>
          </w:tcPr>
          <w:p>
            <w:pPr>
              <w:pStyle w:val="TableContents"/>
              <w:spacing w:before="0" w:after="0"/>
              <w:ind w:left="0" w:right="0" w:hanging="0"/>
              <w:jc w:val="both"/>
              <w:rPr/>
            </w:pPr>
            <w:hyperlink w:anchor="ITEM5OTHERINFORMATION_353440">
              <w:r>
                <w:rPr>
                  <w:rStyle w:val="InternetLink"/>
                  <w:rFonts w:ascii="Times New Roman;Times;serif" w:hAnsi="Times New Roman;Times;serif"/>
                  <w:b w:val="false"/>
                  <w:i w:val="false"/>
                  <w:caps w:val="false"/>
                  <w:smallCaps w:val="false"/>
                  <w:sz w:val="20"/>
                </w:rPr>
                <w:t>Other Information</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pBdr/>
              <w:spacing w:before="0" w:after="0"/>
              <w:ind w:left="0" w:right="0" w:hanging="0"/>
              <w:rPr/>
            </w:pPr>
            <w:hyperlink w:anchor="ITEM6EXHIBITS_20622">
              <w:r>
                <w:rPr>
                  <w:rStyle w:val="InternetLink"/>
                  <w:rFonts w:ascii="Times New Roman;Times;serif" w:hAnsi="Times New Roman;Times;serif"/>
                  <w:b w:val="false"/>
                  <w:i w:val="false"/>
                  <w:caps w:val="false"/>
                  <w:smallCaps w:val="false"/>
                  <w:sz w:val="20"/>
                </w:rPr>
                <w:t>Item 6.</w:t>
              </w:r>
            </w:hyperlink>
          </w:p>
        </w:tc>
        <w:tc>
          <w:tcPr>
            <w:tcW w:w="8282" w:type="dxa"/>
            <w:tcBorders/>
            <w:shd w:fill="auto" w:val="clear"/>
            <w:vAlign w:val="center"/>
          </w:tcPr>
          <w:p>
            <w:pPr>
              <w:pStyle w:val="TableContents"/>
              <w:spacing w:before="0" w:after="0"/>
              <w:ind w:left="0" w:right="0" w:hanging="0"/>
              <w:jc w:val="both"/>
              <w:rPr/>
            </w:pPr>
            <w:hyperlink w:anchor="ITEM6EXHIBITS_20622">
              <w:r>
                <w:rPr>
                  <w:rStyle w:val="InternetLink"/>
                  <w:rFonts w:ascii="Times New Roman;Times;serif" w:hAnsi="Times New Roman;Times;serif"/>
                  <w:b w:val="false"/>
                  <w:i w:val="false"/>
                  <w:caps w:val="false"/>
                  <w:smallCaps w:val="false"/>
                  <w:sz w:val="20"/>
                </w:rPr>
                <w:t>Exhibits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r>
              <w:rPr/>
              <w:t>​</w:t>
            </w:r>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pPr>
            <w:r>
              <w:rPr/>
              <w:t>​</w:t>
            </w:r>
          </w:p>
        </w:tc>
      </w:tr>
      <w:tr>
        <w:trPr/>
        <w:tc>
          <w:tcPr>
            <w:tcW w:w="754" w:type="dxa"/>
            <w:tcBorders/>
            <w:shd w:fill="auto" w:val="clear"/>
            <w:vAlign w:val="center"/>
          </w:tcPr>
          <w:p>
            <w:pPr>
              <w:pStyle w:val="TableContents"/>
              <w:spacing w:before="0" w:after="0"/>
              <w:ind w:left="0" w:right="0" w:hanging="0"/>
              <w:rPr/>
            </w:pPr>
            <w:r>
              <w:rPr/>
              <w:t>​</w:t>
            </w:r>
          </w:p>
        </w:tc>
        <w:tc>
          <w:tcPr>
            <w:tcW w:w="8282" w:type="dxa"/>
            <w:tcBorders/>
            <w:shd w:fill="auto" w:val="clear"/>
            <w:vAlign w:val="center"/>
          </w:tcPr>
          <w:p>
            <w:pPr>
              <w:pStyle w:val="TableContents"/>
              <w:spacing w:before="0" w:after="0"/>
              <w:ind w:left="0" w:right="0" w:hanging="0"/>
              <w:jc w:val="both"/>
              <w:rPr/>
            </w:pPr>
            <w:hyperlink w:anchor="SIGNATURES_652864">
              <w:r>
                <w:rPr>
                  <w:rStyle w:val="InternetLink"/>
                  <w:rFonts w:ascii="Times New Roman;Times;serif" w:hAnsi="Times New Roman;Times;serif"/>
                  <w:b w:val="false"/>
                  <w:i w:val="false"/>
                  <w:caps w:val="false"/>
                  <w:smallCaps w:val="false"/>
                  <w:sz w:val="20"/>
                </w:rPr>
                <w:t>Signatures</w:t>
              </w:r>
            </w:hyperlink>
          </w:p>
        </w:tc>
        <w:tc>
          <w:tcPr>
            <w:tcW w:w="326" w:type="dxa"/>
            <w:tcBorders/>
            <w:shd w:fill="auto" w:val="clear"/>
            <w:vAlign w:val="center"/>
          </w:tcPr>
          <w:p>
            <w:pPr>
              <w:pStyle w:val="TableContents"/>
              <w:spacing w:before="0" w:after="0"/>
              <w:ind w:left="0" w:right="0" w:hanging="0"/>
              <w:jc w:val="right"/>
              <w:rPr/>
            </w:pPr>
            <w:r>
              <w:rPr/>
              <w:t>​</w:t>
            </w:r>
          </w:p>
        </w:tc>
        <w:tc>
          <w:tcPr>
            <w:tcW w:w="84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23" w:name="PARTIFINANCIALINFORMATION_555950"/>
      <w:bookmarkStart w:id="24" w:name="_703aeb89_267f_4f33_bea6_7eb1134d2dc9"/>
      <w:bookmarkEnd w:id="23"/>
      <w:bookmarkEnd w:id="24"/>
      <w:r>
        <w:rPr>
          <w:rFonts w:ascii="Times New Roman;Times;serif" w:hAnsi="Times New Roman;Times;serif"/>
          <w:b/>
          <w:sz w:val="20"/>
        </w:rPr>
        <w:t>PART I – FINANCIAL INFORMATION</w:t>
      </w:r>
    </w:p>
    <w:p>
      <w:pPr>
        <w:pStyle w:val="TextBody"/>
        <w:spacing w:before="0" w:after="0"/>
        <w:ind w:left="0" w:right="0" w:hanging="0"/>
        <w:jc w:val="both"/>
        <w:rPr/>
      </w:pPr>
      <w:r>
        <w:rPr/>
        <w:t>​</w:t>
      </w:r>
    </w:p>
    <w:p>
      <w:pPr>
        <w:pStyle w:val="TextBody"/>
        <w:spacing w:before="0" w:after="0"/>
        <w:ind w:left="0" w:right="0" w:hanging="0"/>
        <w:rPr>
          <w:rFonts w:ascii="Times New Roman;Times;serif" w:hAnsi="Times New Roman;Times;serif"/>
          <w:b/>
          <w:sz w:val="20"/>
        </w:rPr>
      </w:pPr>
      <w:bookmarkStart w:id="25" w:name="ITEM1CONDENSEDCONSOLIDATEDFINANCIALSTATE"/>
      <w:bookmarkEnd w:id="25"/>
      <w:r>
        <w:rPr>
          <w:rFonts w:ascii="Times New Roman;Times;serif" w:hAnsi="Times New Roman;Times;serif"/>
          <w:b/>
          <w:sz w:val="20"/>
        </w:rPr>
        <w:t>ITEM 1. CONDENSED CONSOLIDATED FINANCIAL STATEMENTS (UNAUDITED)</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b/>
          <w:sz w:val="20"/>
        </w:rPr>
        <w:t>MONSTER BEVERAGE CORPORATION AND SUBSIDIARIES</w:t>
      </w:r>
      <w:r>
        <w:rPr>
          <w:rFonts w:ascii="Times New Roman;Times;serif" w:hAnsi="Times New Roman;Times;serif"/>
          <w:sz w:val="20"/>
        </w:rPr>
        <w:t xml:space="preserve"> </w:t>
      </w:r>
    </w:p>
    <w:p>
      <w:pPr>
        <w:pStyle w:val="TextBody"/>
        <w:spacing w:before="0" w:after="0"/>
        <w:ind w:left="0" w:right="0" w:hanging="0"/>
        <w:rPr>
          <w:rFonts w:ascii="Times New Roman;Times;serif" w:hAnsi="Times New Roman;Times;serif"/>
          <w:b/>
          <w:sz w:val="20"/>
        </w:rPr>
      </w:pPr>
      <w:bookmarkStart w:id="26" w:name="CONDENSEDCONSOLIDATEDBALANCESHEETS_69653"/>
      <w:bookmarkEnd w:id="26"/>
      <w:r>
        <w:rPr>
          <w:rFonts w:ascii="Times New Roman;Times;serif" w:hAnsi="Times New Roman;Times;serif"/>
          <w:b/>
          <w:sz w:val="20"/>
        </w:rPr>
        <w:t>CONDENSED CONSOLIDATED BALANCE SHEETS</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AS OF MARCH 31, 2023 AND DECEMBER 31, 2022</w:t>
      </w:r>
    </w:p>
    <w:p>
      <w:pPr>
        <w:pStyle w:val="TextBody"/>
        <w:pBdr>
          <w:bottom w:val="single" w:sz="12" w:space="1" w:color="000000"/>
        </w:pBdr>
        <w:spacing w:before="0" w:after="0"/>
        <w:ind w:left="0" w:right="0" w:hanging="0"/>
        <w:rPr>
          <w:rFonts w:ascii="Times New Roman;Times;serif" w:hAnsi="Times New Roman;Times;serif"/>
          <w:b/>
          <w:sz w:val="20"/>
        </w:rPr>
      </w:pPr>
      <w:r>
        <w:rPr>
          <w:rFonts w:ascii="Times New Roman;Times;serif" w:hAnsi="Times New Roman;Times;serif"/>
          <w:b/>
          <w:sz w:val="20"/>
        </w:rPr>
        <w:t xml:space="preserve">(In Thousands, Except Par Value) (Unaudited) </w:t>
      </w:r>
    </w:p>
    <w:p>
      <w:pPr>
        <w:pStyle w:val="TextBody"/>
        <w:spacing w:before="0" w:after="0"/>
        <w:ind w:left="0" w:right="0" w:hanging="0"/>
        <w:rPr/>
      </w:pPr>
      <w:r>
        <w:rPr/>
        <w:t>​</w:t>
      </w:r>
    </w:p>
    <w:p>
      <w:pPr>
        <w:pStyle w:val="Normal"/>
        <w:spacing w:before="0" w:after="0"/>
        <w:rPr>
          <w:sz w:val="4"/>
          <w:szCs w:val="4"/>
        </w:rPr>
      </w:pPr>
      <w:r>
        <w:rPr>
          <w:sz w:val="4"/>
          <w:szCs w:val="4"/>
        </w:rPr>
      </w:r>
      <w:bookmarkStart w:id="27" w:name="Tc_nqqraqDjaEGADhYCuu4qUw_44_5"/>
      <w:bookmarkStart w:id="28" w:name="Tc_rXoPq4MUk0qqwxAI6Wop3A_44_2"/>
      <w:bookmarkStart w:id="29" w:name="Tc_GU_coKBQzUuf7Bz_wKlNyA_44_0"/>
      <w:bookmarkStart w:id="30" w:name="Tc_LBZ-MXWb0k2iZPw6kTihZA_43_0"/>
      <w:bookmarkStart w:id="31" w:name="Tc_zS46IAN7mEeUdi52S_4d0A_42_0"/>
      <w:bookmarkStart w:id="32" w:name="Tc_O2gk3K_fzUSA3Um7UpSddw_41_0"/>
      <w:bookmarkStart w:id="33" w:name="Tc_bKGnEZ4W4EyGoF3u7CTsnQ_40_0"/>
      <w:bookmarkStart w:id="34" w:name="Tc_HlwK0OV_wE2qz8SitymRkA_39_0"/>
      <w:bookmarkStart w:id="35" w:name="Tc_naw0ht2SJU6YwoHYsVuWug_38_0"/>
      <w:bookmarkStart w:id="36" w:name="Tc_yxuVY3agqkuXjUdlBQl8Eg_37_0"/>
      <w:bookmarkStart w:id="37" w:name="Tc_y5O5dfGUmECt6M5rhC2Z9w_35_0"/>
      <w:bookmarkStart w:id="38" w:name="Tc_g0iFo2WIsUqrUiJYzrv8oQ_33_0"/>
      <w:bookmarkStart w:id="39" w:name="Tc_JnO0aGi9GEy5KkoQprED_w_31_0"/>
      <w:bookmarkStart w:id="40" w:name="Tc_weXdr1VEakOL4n1MluFp2g_29_0"/>
      <w:bookmarkStart w:id="41" w:name="Tc__7asFKL-1kWOdlde9CtWgg_28_0"/>
      <w:bookmarkStart w:id="42" w:name="Tc_Hpz6CNoogEeRAk0NZyWL3Q_27_0"/>
      <w:bookmarkStart w:id="43" w:name="Tc_0xId4zsiL0ebo477Mo0wZg_26_0"/>
      <w:bookmarkStart w:id="44" w:name="Tc_6Uj7ofLyHEuIte5qj5IK_A_25_0"/>
      <w:bookmarkStart w:id="45" w:name="Tc_6z5KxWf1ekK1xNIRWQ8bag_24_0"/>
      <w:bookmarkStart w:id="46" w:name="Tc_FQOdD-OS_Uy9fXcAUnADjQ_23_5"/>
      <w:bookmarkStart w:id="47" w:name="Tc_g-v_WTBWCESTEfi2ZBnuRQ_23_2"/>
      <w:bookmarkStart w:id="48" w:name="Tc_5SreCWOMv0qt8wm7EYM3vQ_23_0"/>
      <w:bookmarkStart w:id="49" w:name="Tc_Agfk76_L6EyAkMKeFprZQQ_22_0"/>
      <w:bookmarkStart w:id="50" w:name="Tc_fFqxLKCXRkiMRBlDgV-czg_21_0"/>
      <w:bookmarkStart w:id="51" w:name="Tc_JX7BeDl7cEyJ9sGXFY146g_19_5"/>
      <w:bookmarkStart w:id="52" w:name="Tc_eQV8SJXU3kyKqaIF14g1EQ_19_2"/>
      <w:bookmarkStart w:id="53" w:name="Tc_LNlGP0Osx0GczuQ5_cpJGA_19_0"/>
      <w:bookmarkStart w:id="54" w:name="Tc_aMq7LvRRBE2OX3FECiwYbg_18_0"/>
      <w:bookmarkStart w:id="55" w:name="Tc_n7Ofrl1H6k2oi6oyt9JI7A_17_0"/>
      <w:bookmarkStart w:id="56" w:name="Tc_OGDS4JaqBUqfXWlIZrrcNg_16_0"/>
      <w:bookmarkStart w:id="57" w:name="Tc_PeHEEfa_80SGBWJ4WriYrg_15_0"/>
      <w:bookmarkStart w:id="58" w:name="Tc_s7gxpEFrZEGm4usVGvgjKg_14_0"/>
      <w:bookmarkStart w:id="59" w:name="Tc_24UPk2m7QkKFLiuxYcbiGg_13_0"/>
      <w:bookmarkStart w:id="60" w:name="Tc_y48BpNja2kSKeUv87yW44Q_11_0"/>
      <w:bookmarkStart w:id="61" w:name="Tc_FS9gZjBmhEW0QArmWs3iIg_10_0"/>
      <w:bookmarkStart w:id="62" w:name="Tc_CHTg_6KrIUi_0U0V7AwrPQ_9_0"/>
      <w:bookmarkStart w:id="63" w:name="Tc_8AXAOMT9fU6b9xeeFakHNQ_8_0"/>
      <w:bookmarkStart w:id="64" w:name="Tc_j60NDdLze0iBQvDfQ7Yn_Q_7_0"/>
      <w:bookmarkStart w:id="65" w:name="Tc_90tjd4AN_0-5WzFzr3sEiA_6_0"/>
      <w:bookmarkStart w:id="66" w:name="Tc_xXHQdZygSk-q6a3__7mIuw_5_5"/>
      <w:bookmarkStart w:id="67" w:name="Tc_paYPXc0fTUy6rbaGr8dc0w_5_2"/>
      <w:bookmarkStart w:id="68" w:name="Tc_5mUmzJ2cMk677ZV6IObvDA_5_0"/>
      <w:bookmarkStart w:id="69" w:name="Tc_8k9frNMvrUCHJtXovmnfKA_4_0"/>
      <w:bookmarkStart w:id="70" w:name="Tc_4MDE0IwME0GwNITZMYLe6g_3_0"/>
      <w:bookmarkStart w:id="71" w:name="Tc_8uhGRwLPE0qUH9U5MeCygA_2_5"/>
      <w:bookmarkStart w:id="72" w:name="Tc_bV0ZW1WarUWs_Gp5EZBDBQ_2_2"/>
      <w:bookmarkStart w:id="73" w:name="Tc_6byPw3_XRkO8RHERgpt-_Q_1_5"/>
      <w:bookmarkStart w:id="74" w:name="Tc_X1AE2hs0iEmk-GGrocTHnQ_1_2"/>
      <w:bookmarkStart w:id="75" w:name="_aa78ee75_a14b_4317_a4f4_2660b50578dd"/>
      <w:bookmarkStart w:id="76" w:name="Tc_nqqraqDjaEGADhYCuu4qUw_44_5"/>
      <w:bookmarkStart w:id="77" w:name="Tc_rXoPq4MUk0qqwxAI6Wop3A_44_2"/>
      <w:bookmarkStart w:id="78" w:name="Tc_GU_coKBQzUuf7Bz_wKlNyA_44_0"/>
      <w:bookmarkStart w:id="79" w:name="Tc_LBZ-MXWb0k2iZPw6kTihZA_43_0"/>
      <w:bookmarkStart w:id="80" w:name="Tc_zS46IAN7mEeUdi52S_4d0A_42_0"/>
      <w:bookmarkStart w:id="81" w:name="Tc_O2gk3K_fzUSA3Um7UpSddw_41_0"/>
      <w:bookmarkStart w:id="82" w:name="Tc_bKGnEZ4W4EyGoF3u7CTsnQ_40_0"/>
      <w:bookmarkStart w:id="83" w:name="Tc_HlwK0OV_wE2qz8SitymRkA_39_0"/>
      <w:bookmarkStart w:id="84" w:name="Tc_naw0ht2SJU6YwoHYsVuWug_38_0"/>
      <w:bookmarkStart w:id="85" w:name="Tc_yxuVY3agqkuXjUdlBQl8Eg_37_0"/>
      <w:bookmarkStart w:id="86" w:name="Tc_y5O5dfGUmECt6M5rhC2Z9w_35_0"/>
      <w:bookmarkStart w:id="87" w:name="Tc_g0iFo2WIsUqrUiJYzrv8oQ_33_0"/>
      <w:bookmarkStart w:id="88" w:name="Tc_JnO0aGi9GEy5KkoQprED_w_31_0"/>
      <w:bookmarkStart w:id="89" w:name="Tc_weXdr1VEakOL4n1MluFp2g_29_0"/>
      <w:bookmarkStart w:id="90" w:name="Tc__7asFKL-1kWOdlde9CtWgg_28_0"/>
      <w:bookmarkStart w:id="91" w:name="Tc_Hpz6CNoogEeRAk0NZyWL3Q_27_0"/>
      <w:bookmarkStart w:id="92" w:name="Tc_0xId4zsiL0ebo477Mo0wZg_26_0"/>
      <w:bookmarkStart w:id="93" w:name="Tc_6Uj7ofLyHEuIte5qj5IK_A_25_0"/>
      <w:bookmarkStart w:id="94" w:name="Tc_6z5KxWf1ekK1xNIRWQ8bag_24_0"/>
      <w:bookmarkStart w:id="95" w:name="Tc_FQOdD-OS_Uy9fXcAUnADjQ_23_5"/>
      <w:bookmarkStart w:id="96" w:name="Tc_g-v_WTBWCESTEfi2ZBnuRQ_23_2"/>
      <w:bookmarkStart w:id="97" w:name="Tc_5SreCWOMv0qt8wm7EYM3vQ_23_0"/>
      <w:bookmarkStart w:id="98" w:name="Tc_Agfk76_L6EyAkMKeFprZQQ_22_0"/>
      <w:bookmarkStart w:id="99" w:name="Tc_fFqxLKCXRkiMRBlDgV-czg_21_0"/>
      <w:bookmarkStart w:id="100" w:name="Tc_JX7BeDl7cEyJ9sGXFY146g_19_5"/>
      <w:bookmarkStart w:id="101" w:name="Tc_eQV8SJXU3kyKqaIF14g1EQ_19_2"/>
      <w:bookmarkStart w:id="102" w:name="Tc_LNlGP0Osx0GczuQ5_cpJGA_19_0"/>
      <w:bookmarkStart w:id="103" w:name="Tc_aMq7LvRRBE2OX3FECiwYbg_18_0"/>
      <w:bookmarkStart w:id="104" w:name="Tc_n7Ofrl1H6k2oi6oyt9JI7A_17_0"/>
      <w:bookmarkStart w:id="105" w:name="Tc_OGDS4JaqBUqfXWlIZrrcNg_16_0"/>
      <w:bookmarkStart w:id="106" w:name="Tc_PeHEEfa_80SGBWJ4WriYrg_15_0"/>
      <w:bookmarkStart w:id="107" w:name="Tc_s7gxpEFrZEGm4usVGvgjKg_14_0"/>
      <w:bookmarkStart w:id="108" w:name="Tc_24UPk2m7QkKFLiuxYcbiGg_13_0"/>
      <w:bookmarkStart w:id="109" w:name="Tc_y48BpNja2kSKeUv87yW44Q_11_0"/>
      <w:bookmarkStart w:id="110" w:name="Tc_FS9gZjBmhEW0QArmWs3iIg_10_0"/>
      <w:bookmarkStart w:id="111" w:name="Tc_CHTg_6KrIUi_0U0V7AwrPQ_9_0"/>
      <w:bookmarkStart w:id="112" w:name="Tc_8AXAOMT9fU6b9xeeFakHNQ_8_0"/>
      <w:bookmarkStart w:id="113" w:name="Tc_j60NDdLze0iBQvDfQ7Yn_Q_7_0"/>
      <w:bookmarkStart w:id="114" w:name="Tc_90tjd4AN_0-5WzFzr3sEiA_6_0"/>
      <w:bookmarkStart w:id="115" w:name="Tc_xXHQdZygSk-q6a3__7mIuw_5_5"/>
      <w:bookmarkStart w:id="116" w:name="Tc_paYPXc0fTUy6rbaGr8dc0w_5_2"/>
      <w:bookmarkStart w:id="117" w:name="Tc_5mUmzJ2cMk677ZV6IObvDA_5_0"/>
      <w:bookmarkStart w:id="118" w:name="Tc_8k9frNMvrUCHJtXovmnfKA_4_0"/>
      <w:bookmarkStart w:id="119" w:name="Tc_4MDE0IwME0GwNITZMYLe6g_3_0"/>
      <w:bookmarkStart w:id="120" w:name="Tc_8uhGRwLPE0qUH9U5MeCygA_2_5"/>
      <w:bookmarkStart w:id="121" w:name="Tc_bV0ZW1WarUWs_Gp5EZBDBQ_2_2"/>
      <w:bookmarkStart w:id="122" w:name="Tc_6byPw3_XRkO8RHERgpt-_Q_1_5"/>
      <w:bookmarkStart w:id="123" w:name="Tc_X1AE2hs0iEmk-GGrocTHnQ_1_2"/>
      <w:bookmarkStart w:id="124" w:name="_aa78ee75_a14b_4317_a4f4_2660b50578dd"/>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tbl>
      <w:tblPr>
        <w:tblW w:w="10205" w:type="dxa"/>
        <w:jc w:val="left"/>
        <w:tblInd w:w="0" w:type="dxa"/>
        <w:tblCellMar>
          <w:top w:w="0" w:type="dxa"/>
          <w:left w:w="0" w:type="dxa"/>
          <w:bottom w:w="0" w:type="dxa"/>
          <w:right w:w="0" w:type="dxa"/>
        </w:tblCellMar>
      </w:tblPr>
      <w:tblGrid>
        <w:gridCol w:w="7296"/>
        <w:gridCol w:w="326"/>
        <w:gridCol w:w="196"/>
        <w:gridCol w:w="909"/>
        <w:gridCol w:w="326"/>
        <w:gridCol w:w="196"/>
        <w:gridCol w:w="956"/>
      </w:tblGrid>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24460" cy="175260"/>
                      <wp:effectExtent l="0" t="0" r="0" b="0"/>
                      <wp:wrapNone/>
                      <wp:docPr id="8" name="Frame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77215" cy="175260"/>
                      <wp:effectExtent l="0" t="0" r="0" b="0"/>
                      <wp:wrapNone/>
                      <wp:docPr id="9" name="Frame9"/>
                      <a:graphic xmlns:a="http://schemas.openxmlformats.org/drawingml/2006/main">
                        <a:graphicData uri="http://schemas.microsoft.com/office/word/2010/wordprocessingShape">
                          <wps:wsp>
                            <wps:cNvSpPr txBox="1"/>
                            <wps:spPr>
                              <a:xfrm>
                                <a:off x="0" y="0"/>
                                <a:ext cx="5772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4460" cy="175260"/>
                      <wp:effectExtent l="0" t="0" r="0" b="0"/>
                      <wp:wrapNone/>
                      <wp:docPr id="11" name="Frame1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07060" cy="175260"/>
                      <wp:effectExtent l="0" t="0" r="0" b="0"/>
                      <wp:wrapNone/>
                      <wp:docPr id="12" name="Frame12"/>
                      <a:graphic xmlns:a="http://schemas.openxmlformats.org/drawingml/2006/main">
                        <a:graphicData uri="http://schemas.microsoft.com/office/word/2010/wordprocessingShape">
                          <wps:wsp>
                            <wps:cNvSpPr txBox="1"/>
                            <wps:spPr>
                              <a:xfrm>
                                <a:off x="0" y="0"/>
                                <a:ext cx="6070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0"/>
              <w:ind w:left="0" w:right="0" w:hanging="0"/>
              <w:rPr/>
            </w:pPr>
            <w:r>
              <w:rPr/>
              <w:t>​</w:t>
            </w:r>
          </w:p>
        </w:tc>
        <w:tc>
          <w:tcPr>
            <w:tcW w:w="115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0"/>
              <w:ind w:left="0" w:right="0" w:hanging="0"/>
              <w:rPr/>
            </w:pPr>
            <w:r>
              <w:rPr/>
              <w:t>    </w:t>
            </w:r>
          </w:p>
        </w:tc>
        <w:tc>
          <w:tcPr>
            <w:tcW w:w="11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7296"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ASSETS: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1,672,660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1,307,141</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Short-term investments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1,383,028</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1,362,314</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receivable,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1,190,351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1,016,203</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Inventories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906,723</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935,631</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110,958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109,823</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Prepaid income taxes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30,889</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33,785</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5,294,609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4,764,897</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INVESTMENTS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41,152</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61,443</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545,922</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516,897</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INCOME TAXES,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177,039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177,039</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GOODWILL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1,417,941</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INTANGIBLE ASSETS, net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1,222,598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1,220,410</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ASSETS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145,101</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134,478</w:t>
            </w:r>
          </w:p>
        </w:tc>
      </w:tr>
      <w:tr>
        <w:trPr/>
        <w:tc>
          <w:tcPr>
            <w:tcW w:w="7296"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8,844,362</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8,293,105</w:t>
            </w:r>
          </w:p>
        </w:tc>
      </w:tr>
      <w:tr>
        <w:trPr/>
        <w:tc>
          <w:tcPr>
            <w:tcW w:w="72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 AND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CURRENT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491,249</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444,265</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245,932</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172,991</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308,094</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255,631</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44,440</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43,311</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Accrued compensation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42,673</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72,463</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Income taxes payable</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55,123</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13,317</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1,187,511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1,001,978</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DEFERRED REVENUE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219,764</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223,800</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41,727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42,286</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COMMITMENTS AND CONTINGENCIES (Note 11)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pPr>
            <w:r>
              <w:rPr/>
              <w:t>​</w:t>
            </w:r>
          </w:p>
        </w:tc>
      </w:tr>
      <w:tr>
        <w:trPr/>
        <w:tc>
          <w:tcPr>
            <w:tcW w:w="7296" w:type="dxa"/>
            <w:tcBorders/>
            <w:shd w:fill="CCEEFF" w:val="clear"/>
            <w:vAlign w:val="center"/>
          </w:tcPr>
          <w:p>
            <w:pPr>
              <w:pStyle w:val="TableContents"/>
              <w:pBdr/>
              <w:spacing w:lineRule="auto" w:line="240" w:before="0" w:after="0"/>
              <w:ind w:left="0" w:right="0" w:hanging="0"/>
              <w:rPr>
                <w:rFonts w:ascii="Times New Roman;Times;serif" w:hAnsi="Times New Roman;Times;serif"/>
                <w:sz w:val="16"/>
              </w:rPr>
            </w:pPr>
            <w:r>
              <w:rPr>
                <w:rFonts w:ascii="Times New Roman;Times;serif" w:hAnsi="Times New Roman;Times;serif"/>
                <w:sz w:val="16"/>
              </w:rPr>
              <w:t>STOCKHOLDERS’ EQUITY</w:t>
            </w:r>
            <w:r>
              <w:rPr>
                <w:rFonts w:ascii="Times New Roman;Times;serif" w:hAnsi="Times New Roman;Times;serif"/>
                <w:sz w:val="12"/>
              </w:rPr>
              <w:t>1</w:t>
            </w:r>
            <w:r>
              <w:rPr>
                <w:rFonts w:ascii="Times New Roman;Times;serif" w:hAnsi="Times New Roman;Times;serif"/>
                <w:sz w:val="16"/>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0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56" w:type="dxa"/>
            <w:tcBorders/>
            <w:shd w:fill="CCEEFF" w:val="clear"/>
            <w:vAlign w:val="center"/>
          </w:tcPr>
          <w:p>
            <w:pPr>
              <w:pStyle w:val="TableContents"/>
              <w:spacing w:before="0" w:after="0"/>
              <w:ind w:left="0" w:right="0" w:hanging="0"/>
              <w:jc w:val="right"/>
              <w:rPr/>
            </w:pPr>
            <w:r>
              <w:rPr/>
              <w:t>​</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Common stock - $0.005 par value; 1,250,000 shares authorized; 1,117,392 shares issued and 1,046,616 shares outstanding as of March 31, 2023; 1,283,688 shares issued and 1,044,600 shares outstanding as of December 31, 2022</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5,587</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4,829,301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Retained earnings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09"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4,706,192</w:t>
            </w:r>
          </w:p>
        </w:tc>
        <w:tc>
          <w:tcPr>
            <w:tcW w:w="326" w:type="dxa"/>
            <w:tcBorders/>
            <w:shd w:fill="auto" w:val="clear"/>
            <w:vAlign w:val="center"/>
          </w:tcPr>
          <w:p>
            <w:pPr>
              <w:pStyle w:val="TableContents"/>
              <w:spacing w:before="0" w:after="0"/>
              <w:ind w:left="0" w:right="0" w:hanging="0"/>
              <w:rPr/>
            </w:pPr>
            <w:r>
              <w:rPr/>
              <w:t> </w:t>
            </w:r>
          </w:p>
        </w:tc>
        <w:tc>
          <w:tcPr>
            <w:tcW w:w="196" w:type="dxa"/>
            <w:tcBorders/>
            <w:shd w:fill="auto" w:val="clear"/>
            <w:vAlign w:val="center"/>
          </w:tcPr>
          <w:p>
            <w:pPr>
              <w:pStyle w:val="TableContents"/>
              <w:spacing w:before="0" w:after="0"/>
              <w:ind w:left="0" w:right="0" w:hanging="0"/>
              <w:rPr/>
            </w:pPr>
            <w:r>
              <w:rPr/>
              <w:t> </w:t>
            </w:r>
          </w:p>
        </w:tc>
        <w:tc>
          <w:tcPr>
            <w:tcW w:w="95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Accumulated other comprehensive loss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09"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(147,911)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pPr>
            <w:r>
              <w:rPr/>
              <w:t> </w:t>
            </w:r>
          </w:p>
        </w:tc>
        <w:tc>
          <w:tcPr>
            <w:tcW w:w="95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r>
      <w:tr>
        <w:trPr/>
        <w:tc>
          <w:tcPr>
            <w:tcW w:w="7296"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Common stock in treasury, at cost; 70,776 shares and 239,088 shares as of March 31, 2023 and December 31, 2022, respectively </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(1,997,809)</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r>
      <w:tr>
        <w:trPr/>
        <w:tc>
          <w:tcPr>
            <w:tcW w:w="7296"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Total stockholders’ equity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7,395,360</w:t>
            </w:r>
          </w:p>
        </w:tc>
        <w:tc>
          <w:tcPr>
            <w:tcW w:w="326" w:type="dxa"/>
            <w:tcBorders/>
            <w:shd w:fill="CCEEFF" w:val="clear"/>
            <w:vAlign w:val="center"/>
          </w:tcPr>
          <w:p>
            <w:pPr>
              <w:pStyle w:val="TableContents"/>
              <w:spacing w:before="0" w:after="0"/>
              <w:ind w:left="0" w:right="0" w:hanging="0"/>
              <w:rPr/>
            </w:pPr>
            <w:r>
              <w:rPr/>
              <w:t> </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5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7296" w:type="dxa"/>
            <w:tcBorders/>
            <w:shd w:fill="auto" w:val="clear"/>
            <w:vAlign w:val="center"/>
          </w:tcPr>
          <w:p>
            <w:pPr>
              <w:pStyle w:val="TableContents"/>
              <w:pBdr/>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Liabilities and Stockholders’ Equity</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8,844,362</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5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8,293,105</w:t>
            </w:r>
          </w:p>
        </w:tc>
      </w:tr>
    </w:tbl>
    <w:p>
      <w:pPr>
        <w:pStyle w:val="TextBody"/>
        <w:spacing w:before="0" w:after="0"/>
        <w:ind w:left="0" w:right="0" w:hanging="0"/>
        <w:rPr/>
      </w:pPr>
      <w:r>
        <w:rPr/>
        <w:t>​</w:t>
      </w:r>
    </w:p>
    <w:p>
      <w:pPr>
        <w:pStyle w:val="TextBody"/>
        <w:spacing w:lineRule="auto" w:line="240" w:before="0" w:after="0"/>
        <w:ind w:left="0" w:right="0" w:hanging="0"/>
        <w:jc w:val="both"/>
        <w:rPr>
          <w:rFonts w:ascii="Times New Roman;Times;serif" w:hAnsi="Times New Roman;Times;serif"/>
          <w:sz w:val="20"/>
        </w:rPr>
      </w:pPr>
      <w:r>
        <w:rPr>
          <w:rFonts w:ascii="Times New Roman;Times;serif" w:hAnsi="Times New Roman;Times;serif"/>
          <w:i/>
          <w:sz w:val="12"/>
        </w:rPr>
        <w:t>1</w:t>
      </w:r>
      <w:r>
        <w:rPr>
          <w:rFonts w:ascii="Times New Roman;Times;serif" w:hAnsi="Times New Roman;Times;serif"/>
          <w:sz w:val="20"/>
        </w:rPr>
        <w:t xml:space="preserve"> </w:t>
      </w:r>
      <w:r>
        <w:rPr>
          <w:rFonts w:ascii="Times New Roman;Times;serif" w:hAnsi="Times New Roman;Times;serif"/>
          <w:i/>
          <w:sz w:val="18"/>
        </w:rPr>
        <w:t>Stock Split - On February 28, 2023, the Company announced a two-for-one stock split of its common stock to be effected in the form of a 100% stock dividend. The stock dividend was issued on March 27, 2023 (the “Stock Split”). The accompanying condensed consolidated financial statements and notes thereto have been retroactively updated to reflect the Stock Split. See Note 1 for additional information.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25" w:name="_700fa90e_0d1e_4dd8_a755_e12ceba273ed"/>
      <w:bookmarkEnd w:id="125"/>
      <w:r>
        <w:rPr>
          <w:rFonts w:ascii="Times New Roman;Times;serif" w:hAnsi="Times New Roman;Times;serif"/>
          <w:b/>
          <w:sz w:val="20"/>
        </w:rPr>
        <w:t>MONSTER BEVERAGE CORPORATION AND SUBSIDIARIES</w:t>
      </w:r>
    </w:p>
    <w:p>
      <w:pPr>
        <w:pStyle w:val="TextBody"/>
        <w:spacing w:before="0" w:after="0"/>
        <w:ind w:left="0" w:right="0" w:hanging="0"/>
        <w:rPr>
          <w:rFonts w:ascii="Times New Roman;Times;serif" w:hAnsi="Times New Roman;Times;serif"/>
          <w:b/>
          <w:sz w:val="20"/>
        </w:rPr>
      </w:pPr>
      <w:bookmarkStart w:id="126" w:name="STATEMENTSOFINCOME_393941"/>
      <w:bookmarkEnd w:id="126"/>
      <w:r>
        <w:rPr>
          <w:rFonts w:ascii="Times New Roman;Times;serif" w:hAnsi="Times New Roman;Times;serif"/>
          <w:b/>
          <w:sz w:val="20"/>
        </w:rPr>
        <w:t>CONDENSED CONSOLIDATED STATEMENTS OF INCOME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 THE THREE-MONTHS ENDED MARCH 31, 2023 AND 2022</w:t>
      </w:r>
    </w:p>
    <w:p>
      <w:pPr>
        <w:pStyle w:val="TextBody"/>
        <w:pBdr>
          <w:bottom w:val="single" w:sz="12" w:space="1" w:color="000000"/>
        </w:pBdr>
        <w:spacing w:before="0" w:after="0"/>
        <w:ind w:left="0" w:right="0" w:hanging="0"/>
        <w:rPr>
          <w:rFonts w:ascii="Times New Roman;Times;serif" w:hAnsi="Times New Roman;Times;serif"/>
          <w:b/>
          <w:sz w:val="20"/>
        </w:rPr>
      </w:pPr>
      <w:r>
        <w:rPr>
          <w:rFonts w:ascii="Times New Roman;Times;serif" w:hAnsi="Times New Roman;Times;serif"/>
          <w:b/>
          <w:sz w:val="20"/>
        </w:rPr>
        <w:t xml:space="preserve">(In Thousands, Except Per Share Amounts) (Unaudited) </w:t>
      </w:r>
    </w:p>
    <w:p>
      <w:pPr>
        <w:pStyle w:val="TextBody"/>
        <w:spacing w:before="0" w:after="0"/>
        <w:ind w:left="0" w:right="0" w:hanging="0"/>
        <w:rPr/>
      </w:pPr>
      <w:r>
        <w:rPr/>
        <w:t>​</w:t>
      </w:r>
    </w:p>
    <w:p>
      <w:pPr>
        <w:pStyle w:val="Normal"/>
        <w:spacing w:before="0" w:after="0"/>
        <w:rPr>
          <w:sz w:val="4"/>
          <w:szCs w:val="4"/>
        </w:rPr>
      </w:pPr>
      <w:r>
        <w:rPr>
          <w:sz w:val="4"/>
          <w:szCs w:val="4"/>
        </w:rPr>
      </w:r>
      <w:bookmarkStart w:id="127" w:name="Tc_1rgiHaMtpEOL_kSBfAlY7Q_29_0"/>
      <w:bookmarkStart w:id="128" w:name="Tc_7sqZISsEzUKuWYNb7C6Gew_28_0"/>
      <w:bookmarkStart w:id="129" w:name="Tc_UQgZPCBmwECjEpyh095y7g_27_0"/>
      <w:bookmarkStart w:id="130" w:name="Tc_ipGAOkBBlUqEudIVySiLSg_25_5"/>
      <w:bookmarkStart w:id="131" w:name="Tc_aNB6Law8MEyqMN0oR28-4g_25_2"/>
      <w:bookmarkStart w:id="132" w:name="Tc_ymIyYx5T0Ey8MAHwIc1T4A_25_0"/>
      <w:bookmarkStart w:id="133" w:name="Tc_sRriM3-0gECBHvcmglJv1w_24_5"/>
      <w:bookmarkStart w:id="134" w:name="Tc_LMzOvVywo0WvPXRbRAumBA_24_2"/>
      <w:bookmarkStart w:id="135" w:name="Tc_Awti8Jf6UEag-Xd9LSp0XA_24_0"/>
      <w:bookmarkStart w:id="136" w:name="Tc_gCe_J7CDpk2S6ZT5ebOTSg_23_0"/>
      <w:bookmarkStart w:id="137" w:name="Tc_Mk_cRc3ODki5x7HqQPuSjA_21_5"/>
      <w:bookmarkStart w:id="138" w:name="Tc_4j5N1n5A-kSav_3ADLOGFw_21_2"/>
      <w:bookmarkStart w:id="139" w:name="Tc_bAgGsSpYL0-MV0tWK7yBdg_21_0"/>
      <w:bookmarkStart w:id="140" w:name="Tc_-t_xMk_LREuL5ZECphu37g_19_0"/>
      <w:bookmarkStart w:id="141" w:name="Tc_DMd7W3zFq0eurrySn5KlHg_17_0"/>
      <w:bookmarkStart w:id="142" w:name="Tc_kktpPAGHE0O16jpeH4PGUw_15_0"/>
      <w:bookmarkStart w:id="143" w:name="Tc_A-QW8yV05kifpIzmSFX4VA_13_0"/>
      <w:bookmarkStart w:id="144" w:name="Tc_zmZI_AdwXkSLznnsvRKWdQ_11_0"/>
      <w:bookmarkStart w:id="145" w:name="Tc_smiR6oz2m0-lLqiEnyuj-w_9_0"/>
      <w:bookmarkStart w:id="146" w:name="Tc_BU3Xi9y1R0y7nQG8LXeKCg_7_0"/>
      <w:bookmarkStart w:id="147" w:name="Tc_RjX0CT1C1U2jA3HqzBMSOg_5_5"/>
      <w:bookmarkStart w:id="148" w:name="Tc_xI45jnl-W06jqUVw5E3JEg_5_2"/>
      <w:bookmarkStart w:id="149" w:name="Tc_wyQPnA6I90qh-3EkFgtooQ_5_0"/>
      <w:bookmarkStart w:id="150" w:name="Tc_VmxCIrziX0GkiFnDwQ5eWA_3_5"/>
      <w:bookmarkStart w:id="151" w:name="Tc_62R7MuVBdECccFcbd0eXmg_3_2"/>
      <w:bookmarkStart w:id="152" w:name="Tc_5ueDufeF70SljQivJMJ69w_2_2"/>
      <w:bookmarkStart w:id="153" w:name="Tc_YWax-8EO-06tCjkKCV8Hwg_1_2"/>
      <w:bookmarkStart w:id="154" w:name="_e41ed53e_8063_4a6b_97b7_63b0959abaf8"/>
      <w:bookmarkStart w:id="155" w:name="Tc_1rgiHaMtpEOL_kSBfAlY7Q_29_0"/>
      <w:bookmarkStart w:id="156" w:name="Tc_7sqZISsEzUKuWYNb7C6Gew_28_0"/>
      <w:bookmarkStart w:id="157" w:name="Tc_UQgZPCBmwECjEpyh095y7g_27_0"/>
      <w:bookmarkStart w:id="158" w:name="Tc_ipGAOkBBlUqEudIVySiLSg_25_5"/>
      <w:bookmarkStart w:id="159" w:name="Tc_aNB6Law8MEyqMN0oR28-4g_25_2"/>
      <w:bookmarkStart w:id="160" w:name="Tc_ymIyYx5T0Ey8MAHwIc1T4A_25_0"/>
      <w:bookmarkStart w:id="161" w:name="Tc_sRriM3-0gECBHvcmglJv1w_24_5"/>
      <w:bookmarkStart w:id="162" w:name="Tc_LMzOvVywo0WvPXRbRAumBA_24_2"/>
      <w:bookmarkStart w:id="163" w:name="Tc_Awti8Jf6UEag-Xd9LSp0XA_24_0"/>
      <w:bookmarkStart w:id="164" w:name="Tc_gCe_J7CDpk2S6ZT5ebOTSg_23_0"/>
      <w:bookmarkStart w:id="165" w:name="Tc_Mk_cRc3ODki5x7HqQPuSjA_21_5"/>
      <w:bookmarkStart w:id="166" w:name="Tc_4j5N1n5A-kSav_3ADLOGFw_21_2"/>
      <w:bookmarkStart w:id="167" w:name="Tc_bAgGsSpYL0-MV0tWK7yBdg_21_0"/>
      <w:bookmarkStart w:id="168" w:name="Tc_-t_xMk_LREuL5ZECphu37g_19_0"/>
      <w:bookmarkStart w:id="169" w:name="Tc_DMd7W3zFq0eurrySn5KlHg_17_0"/>
      <w:bookmarkStart w:id="170" w:name="Tc_kktpPAGHE0O16jpeH4PGUw_15_0"/>
      <w:bookmarkStart w:id="171" w:name="Tc_A-QW8yV05kifpIzmSFX4VA_13_0"/>
      <w:bookmarkStart w:id="172" w:name="Tc_zmZI_AdwXkSLznnsvRKWdQ_11_0"/>
      <w:bookmarkStart w:id="173" w:name="Tc_smiR6oz2m0-lLqiEnyuj-w_9_0"/>
      <w:bookmarkStart w:id="174" w:name="Tc_BU3Xi9y1R0y7nQG8LXeKCg_7_0"/>
      <w:bookmarkStart w:id="175" w:name="Tc_RjX0CT1C1U2jA3HqzBMSOg_5_5"/>
      <w:bookmarkStart w:id="176" w:name="Tc_xI45jnl-W06jqUVw5E3JEg_5_2"/>
      <w:bookmarkStart w:id="177" w:name="Tc_wyQPnA6I90qh-3EkFgtooQ_5_0"/>
      <w:bookmarkStart w:id="178" w:name="Tc_VmxCIrziX0GkiFnDwQ5eWA_3_5"/>
      <w:bookmarkStart w:id="179" w:name="Tc_62R7MuVBdECccFcbd0eXmg_3_2"/>
      <w:bookmarkStart w:id="180" w:name="Tc_5ueDufeF70SljQivJMJ69w_2_2"/>
      <w:bookmarkStart w:id="181" w:name="Tc_YWax-8EO-06tCjkKCV8Hwg_1_2"/>
      <w:bookmarkStart w:id="182" w:name="_e41ed53e_8063_4a6b_97b7_63b0959abaf8"/>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tbl>
      <w:tblPr>
        <w:tblW w:w="10205" w:type="dxa"/>
        <w:jc w:val="left"/>
        <w:tblInd w:w="0" w:type="dxa"/>
        <w:tblCellMar>
          <w:top w:w="0" w:type="dxa"/>
          <w:left w:w="0" w:type="dxa"/>
          <w:bottom w:w="0" w:type="dxa"/>
          <w:right w:w="0" w:type="dxa"/>
        </w:tblCellMar>
      </w:tblPr>
      <w:tblGrid>
        <w:gridCol w:w="7404"/>
        <w:gridCol w:w="326"/>
        <w:gridCol w:w="196"/>
        <w:gridCol w:w="826"/>
        <w:gridCol w:w="326"/>
        <w:gridCol w:w="196"/>
        <w:gridCol w:w="931"/>
      </w:tblGrid>
      <w:tr>
        <w:trPr/>
        <w:tc>
          <w:tcPr>
            <w:tcW w:w="7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4701540" cy="175260"/>
                      <wp:effectExtent l="0" t="0" r="0" b="0"/>
                      <wp:wrapNone/>
                      <wp:docPr id="13" name="Frame13"/>
                      <a:graphic xmlns:a="http://schemas.openxmlformats.org/drawingml/2006/main">
                        <a:graphicData uri="http://schemas.microsoft.com/office/word/2010/wordprocessingShape">
                          <wps:wsp>
                            <wps:cNvSpPr txBox="1"/>
                            <wps:spPr>
                              <a:xfrm>
                                <a:off x="0" y="0"/>
                                <a:ext cx="4701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260"/>
                      <wp:effectExtent l="0" t="0" r="0" b="0"/>
                      <wp:wrapNone/>
                      <wp:docPr id="14" name="Frame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24460" cy="175260"/>
                      <wp:effectExtent l="0" t="0" r="0" b="0"/>
                      <wp:wrapNone/>
                      <wp:docPr id="15" name="Frame1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24510" cy="175260"/>
                      <wp:effectExtent l="0" t="0" r="0" b="0"/>
                      <wp:wrapNone/>
                      <wp:docPr id="16" name="Frame16"/>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07010" cy="175260"/>
                      <wp:effectExtent l="0" t="0" r="0" b="0"/>
                      <wp:wrapNone/>
                      <wp:docPr id="17" name="Frame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24460" cy="175260"/>
                      <wp:effectExtent l="0" t="0" r="0" b="0"/>
                      <wp:wrapNone/>
                      <wp:docPr id="18" name="Frame1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591185" cy="175260"/>
                      <wp:effectExtent l="0" t="0" r="0" b="0"/>
                      <wp:wrapNone/>
                      <wp:docPr id="19" name="Frame1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Three-Months Ended</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7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auto" w:val="cle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SALES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1,698,930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1,518,574</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801,081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741,907</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897,849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776,667</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OPERATING EXPENSES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412,785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377,178</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OPERATING INCOME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485,064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399,489</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INTEREST and OTHER INCOME (EXPENSE), net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12,496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(7,300)</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INCOME BEFORE PROVISION FOR INCOME TAXES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497,560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392,189</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PROVISION FOR INCOME TAXES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100,116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97,986</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397,444</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294,203</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NET INCOME PER COMMON SHARE</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740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Basic</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0.38</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0.28</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0.38</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0.27</w:t>
            </w:r>
          </w:p>
        </w:tc>
      </w:tr>
      <w:tr>
        <w:trPr/>
        <w:tc>
          <w:tcPr>
            <w:tcW w:w="7404"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7404" w:type="dxa"/>
            <w:tcBorders/>
            <w:shd w:fill="CCEEFF" w:val="clear"/>
            <w:vAlign w:val="center"/>
          </w:tcPr>
          <w:p>
            <w:pPr>
              <w:pStyle w:val="TableContents"/>
              <w:pBdr/>
              <w:spacing w:lineRule="auto" w:line="240" w:before="0" w:after="0"/>
              <w:ind w:left="0" w:right="0" w:hanging="0"/>
              <w:rPr>
                <w:rFonts w:ascii="Times New Roman;Times;serif" w:hAnsi="Times New Roman;Times;serif"/>
                <w:sz w:val="18"/>
              </w:rPr>
            </w:pPr>
            <w:r>
              <w:rPr>
                <w:rFonts w:ascii="Times New Roman;Times;serif" w:hAnsi="Times New Roman;Times;serif"/>
                <w:sz w:val="18"/>
              </w:rPr>
              <w:t>WEIGHTED AVERAGE NUMBER OF SHARES OF COMMON STOCK AND COMMON STOCK EQUIVALENTS</w:t>
            </w:r>
            <w:r>
              <w:rPr>
                <w:rFonts w:ascii="Times New Roman;Times;serif" w:hAnsi="Times New Roman;Times;serif"/>
                <w:sz w:val="14"/>
              </w:rPr>
              <w:t>1</w:t>
            </w:r>
            <w:r>
              <w:rPr>
                <w:rFonts w:ascii="Times New Roman;Times;serif" w:hAnsi="Times New Roman;Times;serif"/>
                <w:sz w:val="18"/>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7404" w:type="dxa"/>
            <w:tcBorders/>
            <w:shd w:fill="auto"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Basic</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1,044,909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1,058,810</w:t>
            </w:r>
          </w:p>
        </w:tc>
      </w:tr>
      <w:tr>
        <w:trPr/>
        <w:tc>
          <w:tcPr>
            <w:tcW w:w="7404" w:type="dxa"/>
            <w:tcBorders/>
            <w:shd w:fill="CCEEFF" w:val="clear"/>
            <w:vAlign w:val="center"/>
          </w:tcPr>
          <w:p>
            <w:pPr>
              <w:pStyle w:val="TableContents"/>
              <w:pBdr/>
              <w:spacing w:before="0" w:after="0"/>
              <w:ind w:left="0" w:right="0" w:hanging="0"/>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1,059,069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1,071,108</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¹ Stock Split - The accompanying condensed consolidated financial statements and notes thereto have been retroactively updated to reflect the Stock Split. See Note 1 for additional information.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183" w:name="_e21a46e0_ba78_46f3_a609_62f221901af9"/>
      <w:bookmarkEnd w:id="183"/>
      <w:r>
        <w:rPr>
          <w:rFonts w:ascii="Times New Roman;Times;serif" w:hAnsi="Times New Roman;Times;serif"/>
          <w:b/>
          <w:sz w:val="20"/>
        </w:rPr>
        <w:t>MONSTER BEVERAGE CORPORATION AND SUBSIDIARIES</w:t>
      </w:r>
    </w:p>
    <w:p>
      <w:pPr>
        <w:pStyle w:val="TextBody"/>
        <w:spacing w:before="0" w:after="0"/>
        <w:ind w:left="0" w:right="0" w:hanging="0"/>
        <w:rPr>
          <w:rFonts w:ascii="Times New Roman;Times;serif" w:hAnsi="Times New Roman;Times;serif"/>
          <w:b/>
          <w:sz w:val="20"/>
        </w:rPr>
      </w:pPr>
      <w:bookmarkStart w:id="184" w:name="STATEMENTSOFCOMPREHENSIVEINCOME_19420"/>
      <w:bookmarkEnd w:id="184"/>
      <w:r>
        <w:rPr>
          <w:rFonts w:ascii="Times New Roman;Times;serif" w:hAnsi="Times New Roman;Times;serif"/>
          <w:b/>
          <w:sz w:val="20"/>
        </w:rPr>
        <w:t>CONDENSED CONSOLIDATED STATEMENTS OF COMPREHENSIVE INCOME</w:t>
      </w:r>
    </w:p>
    <w:p>
      <w:pPr>
        <w:pStyle w:val="TextBody"/>
        <w:spacing w:before="0" w:after="0"/>
        <w:ind w:left="0" w:right="0" w:hanging="0"/>
        <w:rPr>
          <w:rFonts w:ascii="Times New Roman;Times;serif" w:hAnsi="Times New Roman;Times;serif"/>
          <w:b/>
          <w:sz w:val="20"/>
        </w:rPr>
      </w:pPr>
      <w:r>
        <w:rPr>
          <w:rFonts w:ascii="Times New Roman;Times;serif" w:hAnsi="Times New Roman;Times;serif"/>
          <w:b/>
          <w:sz w:val="20"/>
        </w:rPr>
        <w:t>FOR THE THREE-MONTHS ENDED MARCH 31, 2023 AND 2022</w:t>
      </w:r>
    </w:p>
    <w:p>
      <w:pPr>
        <w:pStyle w:val="TextBody"/>
        <w:pBdr>
          <w:bottom w:val="single" w:sz="12" w:space="1" w:color="000000"/>
        </w:pBdr>
        <w:spacing w:before="0" w:after="0"/>
        <w:ind w:left="0" w:right="0" w:hanging="0"/>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spacing w:before="0" w:after="0"/>
        <w:ind w:left="0" w:right="0" w:hanging="0"/>
        <w:rPr/>
      </w:pPr>
      <w:r>
        <w:rPr/>
        <w:t>​</w:t>
      </w:r>
    </w:p>
    <w:p>
      <w:pPr>
        <w:pStyle w:val="Normal"/>
        <w:spacing w:before="0" w:after="0"/>
        <w:rPr>
          <w:sz w:val="4"/>
          <w:szCs w:val="4"/>
        </w:rPr>
      </w:pPr>
      <w:r>
        <w:rPr>
          <w:sz w:val="4"/>
          <w:szCs w:val="4"/>
        </w:rPr>
      </w:r>
      <w:bookmarkStart w:id="185" w:name="Tc_TxSdka8_OEeNYP29UXpntg_10_5"/>
      <w:bookmarkStart w:id="186" w:name="Tc_v0yMk8m14kq3IrVkDb4WXQ_10_2"/>
      <w:bookmarkStart w:id="187" w:name="Tc_ND_Rjh6PoEyxFUl1LsEBlA_10_0"/>
      <w:bookmarkStart w:id="188" w:name="Tc_e3WJOLoV-0K0twX2kCW6rg_9_0"/>
      <w:bookmarkStart w:id="189" w:name="Tc_-NNommDt-kOnM2Vo5qPCSg_8_0"/>
      <w:bookmarkStart w:id="190" w:name="Tc_wniGowEbQUKocDzHkP8jOw_7_0"/>
      <w:bookmarkStart w:id="191" w:name="Tc_XmzuInMMeU-S8cu0k18WmA_6_0"/>
      <w:bookmarkStart w:id="192" w:name="Tc_q_N4aXEW9kOkw4PxG0MWYQ_5_0"/>
      <w:bookmarkStart w:id="193" w:name="Tc_rs8md_AxwU-T_-m6TiXyCg_4_5"/>
      <w:bookmarkStart w:id="194" w:name="Tc_wz6L-76W5U6Ofj0ut81dyA_4_2"/>
      <w:bookmarkStart w:id="195" w:name="Tc_mXrwu2uI5kivR2oB8Q2T4w_4_0"/>
      <w:bookmarkStart w:id="196" w:name="Tc_NZKdDjRMwUO4GCIuZuPjZQ_3_5"/>
      <w:bookmarkStart w:id="197" w:name="Tc_4uefXMZmY02-bmyA-5OvGA_3_2"/>
      <w:bookmarkStart w:id="198" w:name="Tc_vi8UG0EoYkWx_krNvIRH3A_2_2"/>
      <w:bookmarkStart w:id="199" w:name="Tc__DDmCmykUEKq3qByeWm-bA_1_2"/>
      <w:bookmarkStart w:id="200" w:name="_573ee5ac_a9bc_4816_916d_45e1e2716977"/>
      <w:bookmarkStart w:id="201" w:name="Tc_TxSdka8_OEeNYP29UXpntg_10_5"/>
      <w:bookmarkStart w:id="202" w:name="Tc_v0yMk8m14kq3IrVkDb4WXQ_10_2"/>
      <w:bookmarkStart w:id="203" w:name="Tc_ND_Rjh6PoEyxFUl1LsEBlA_10_0"/>
      <w:bookmarkStart w:id="204" w:name="Tc_e3WJOLoV-0K0twX2kCW6rg_9_0"/>
      <w:bookmarkStart w:id="205" w:name="Tc_-NNommDt-kOnM2Vo5qPCSg_8_0"/>
      <w:bookmarkStart w:id="206" w:name="Tc_wniGowEbQUKocDzHkP8jOw_7_0"/>
      <w:bookmarkStart w:id="207" w:name="Tc_XmzuInMMeU-S8cu0k18WmA_6_0"/>
      <w:bookmarkStart w:id="208" w:name="Tc_q_N4aXEW9kOkw4PxG0MWYQ_5_0"/>
      <w:bookmarkStart w:id="209" w:name="Tc_rs8md_AxwU-T_-m6TiXyCg_4_5"/>
      <w:bookmarkStart w:id="210" w:name="Tc_wz6L-76W5U6Ofj0ut81dyA_4_2"/>
      <w:bookmarkStart w:id="211" w:name="Tc_mXrwu2uI5kivR2oB8Q2T4w_4_0"/>
      <w:bookmarkStart w:id="212" w:name="Tc_NZKdDjRMwUO4GCIuZuPjZQ_3_5"/>
      <w:bookmarkStart w:id="213" w:name="Tc_4uefXMZmY02-bmyA-5OvGA_3_2"/>
      <w:bookmarkStart w:id="214" w:name="Tc_vi8UG0EoYkWx_krNvIRH3A_2_2"/>
      <w:bookmarkStart w:id="215" w:name="Tc__DDmCmykUEKq3qByeWm-bA_1_2"/>
      <w:bookmarkStart w:id="216" w:name="_573ee5ac_a9bc_4816_916d_45e1e2716977"/>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tbl>
      <w:tblPr>
        <w:tblW w:w="6942" w:type="dxa"/>
        <w:jc w:val="left"/>
        <w:tblInd w:w="0" w:type="dxa"/>
        <w:tblCellMar>
          <w:top w:w="0" w:type="dxa"/>
          <w:left w:w="0" w:type="dxa"/>
          <w:bottom w:w="0" w:type="dxa"/>
          <w:right w:w="0" w:type="dxa"/>
        </w:tblCellMar>
      </w:tblPr>
      <w:tblGrid>
        <w:gridCol w:w="4201"/>
        <w:gridCol w:w="326"/>
        <w:gridCol w:w="211"/>
        <w:gridCol w:w="781"/>
        <w:gridCol w:w="326"/>
        <w:gridCol w:w="211"/>
        <w:gridCol w:w="886"/>
      </w:tblGrid>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5935" cy="175260"/>
                      <wp:effectExtent l="0" t="0" r="0" b="0"/>
                      <wp:wrapNone/>
                      <wp:docPr id="21" name="Frame2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62610" cy="175260"/>
                      <wp:effectExtent l="0" t="0" r="0" b="0"/>
                      <wp:wrapNone/>
                      <wp:docPr id="24" name="Frame2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Three-Months Ended</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2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09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2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as reported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397,444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294,203</w:t>
            </w:r>
          </w:p>
        </w:tc>
      </w:tr>
      <w:tr>
        <w:trPr/>
        <w:tc>
          <w:tcPr>
            <w:tcW w:w="42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 in foreign currency translation adjustment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r>
      <w:tr>
        <w:trPr/>
        <w:tc>
          <w:tcPr>
            <w:tcW w:w="42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Available-for-sale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r>
      <w:tr>
        <w:trPr/>
        <w:tc>
          <w:tcPr>
            <w:tcW w:w="42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Change in net unrealized gains (losses)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r>
      <w:tr>
        <w:trPr/>
        <w:tc>
          <w:tcPr>
            <w:tcW w:w="420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r>
      <w:tr>
        <w:trPr/>
        <w:tc>
          <w:tcPr>
            <w:tcW w:w="420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Comprehensive income</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408,606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291,223</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r>
        <w:rPr>
          <w:rFonts w:ascii="Times New Roman;Times;serif" w:hAnsi="Times New Roman;Times;serif"/>
          <w:sz w:val="22"/>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tLeast" w:line="220" w:before="0" w:after="0"/>
        <w:ind w:left="0" w:right="0" w:hanging="0"/>
        <w:rPr>
          <w:rFonts w:ascii="Times New Roman;Times;serif" w:hAnsi="Times New Roman;Times;serif"/>
          <w:b/>
          <w:sz w:val="20"/>
        </w:rPr>
      </w:pPr>
      <w:bookmarkStart w:id="217" w:name="_a7e52ac7_64e3_4ec2_9f3f_dcd55aed3151"/>
      <w:bookmarkEnd w:id="217"/>
      <w:r>
        <w:rPr>
          <w:rFonts w:ascii="Times New Roman;Times;serif" w:hAnsi="Times New Roman;Times;serif"/>
          <w:b/>
          <w:sz w:val="20"/>
        </w:rPr>
        <w:t>MONSTER BEVERAGE CORPORATION AND SUBSIDIARIES</w:t>
      </w:r>
    </w:p>
    <w:p>
      <w:pPr>
        <w:pStyle w:val="TextBody"/>
        <w:spacing w:lineRule="atLeast" w:line="220" w:before="0" w:after="0"/>
        <w:ind w:left="0" w:right="0" w:hanging="0"/>
        <w:rPr>
          <w:rFonts w:ascii="Times New Roman;Times;serif" w:hAnsi="Times New Roman;Times;serif"/>
          <w:b/>
          <w:sz w:val="20"/>
        </w:rPr>
      </w:pPr>
      <w:bookmarkStart w:id="218" w:name="STATEMENTSOFSTOCKHOLDERSEQUITY_603690"/>
      <w:bookmarkEnd w:id="218"/>
      <w:r>
        <w:rPr>
          <w:rFonts w:ascii="Times New Roman;Times;serif" w:hAnsi="Times New Roman;Times;serif"/>
          <w:b/>
          <w:sz w:val="20"/>
        </w:rPr>
        <w:t xml:space="preserve">CONDENSED CONSOLIDATED STATEMENTS OF STOCKHOLDERS’ EQUITY </w:t>
      </w:r>
    </w:p>
    <w:p>
      <w:pPr>
        <w:pStyle w:val="TextBody"/>
        <w:pBdr/>
        <w:spacing w:lineRule="atLeast" w:line="220" w:before="0" w:after="0"/>
        <w:ind w:left="0" w:right="0" w:hanging="0"/>
        <w:rPr>
          <w:rFonts w:ascii="Times New Roman;Times;serif" w:hAnsi="Times New Roman;Times;serif"/>
          <w:b/>
          <w:sz w:val="20"/>
        </w:rPr>
      </w:pPr>
      <w:r>
        <w:rPr>
          <w:rFonts w:ascii="Times New Roman;Times;serif" w:hAnsi="Times New Roman;Times;serif"/>
          <w:b/>
          <w:sz w:val="20"/>
        </w:rPr>
        <w:t>FOR THE THREE-MONTHS ENDED MARCH 31, 2023 AND 2022</w:t>
      </w:r>
    </w:p>
    <w:p>
      <w:pPr>
        <w:pStyle w:val="TextBody"/>
        <w:pBdr>
          <w:bottom w:val="single" w:sz="12" w:space="1" w:color="000000"/>
        </w:pBdr>
        <w:spacing w:lineRule="atLeast" w:line="220" w:before="0" w:after="0"/>
        <w:ind w:left="0" w:right="0" w:hanging="0"/>
        <w:rPr>
          <w:rFonts w:ascii="Times New Roman;Times;serif" w:hAnsi="Times New Roman;Times;serif"/>
          <w:b/>
          <w:sz w:val="20"/>
        </w:rPr>
      </w:pPr>
      <w:r>
        <w:rPr>
          <w:rFonts w:ascii="Times New Roman;Times;serif" w:hAnsi="Times New Roman;Times;serif"/>
          <w:b/>
          <w:sz w:val="20"/>
        </w:rPr>
        <w:t>(In Thousands)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219" w:name="Tc_ZytMMQ8m20qAJZbrIILDew_13_21"/>
      <w:bookmarkStart w:id="220" w:name="Tc_m210dPW900C1Tpzzcg-Ozg_13_18"/>
      <w:bookmarkStart w:id="221" w:name="Tc_eTvmCElRxEKHysw0sOtLvg_13_13"/>
      <w:bookmarkStart w:id="222" w:name="Tc_N7BtWOphIkquf9xQiqjVpA_13_10"/>
      <w:bookmarkStart w:id="223" w:name="Tc_ep0fWZF30U-HLt43_zH3SA_13_7"/>
      <w:bookmarkStart w:id="224" w:name="Tc_TTDoL3VXckWY6UlAGfJMVg_13_4"/>
      <w:bookmarkStart w:id="225" w:name="Tc_ahyEoMaawUaQgIkPcD7Ajw_13_0"/>
      <w:bookmarkStart w:id="226" w:name="Tc_MUnwdwCCiU2Ie90NmESSbA_12_19"/>
      <w:bookmarkStart w:id="227" w:name="Tc_MTSpOi8DbUei3_-ZNNwZMA_12_16"/>
      <w:bookmarkStart w:id="228" w:name="Tc_dA420yMqPUOrDZWTKNz2lg_12_14"/>
      <w:bookmarkStart w:id="229" w:name="Tc_-_w3RKAGBUuNP7zfYvkTyg_12_8"/>
      <w:bookmarkStart w:id="230" w:name="Tc_QzK1vZzDKEe1mYrZVfDq3g_12_5"/>
      <w:bookmarkStart w:id="231" w:name="Tc_ybBo4KI3fECKLJ3ZnkRroQ_12_2"/>
      <w:bookmarkStart w:id="232" w:name="Tc_8Cc4C_kyjEOtR09FOjPs_w_12_0"/>
      <w:bookmarkStart w:id="233" w:name="Tc_JsF9XTtXBEWuRdS1BNqO_A_11_19"/>
      <w:bookmarkStart w:id="234" w:name="Tc_NtOk4QVjDUG2UsI5an7Z-w_11_16"/>
      <w:bookmarkStart w:id="235" w:name="Tc_p4kJFw-orEaBAi9QfgoZiA_11_11"/>
      <w:bookmarkStart w:id="236" w:name="Tc_CIWbnFjk9EiZVnNmNAm46A_11_8"/>
      <w:bookmarkStart w:id="237" w:name="Tc_j20eyoM1-EW9h9kSXGIirw_11_5"/>
      <w:bookmarkStart w:id="238" w:name="Tc_RJcKPvUa9k6pZzLWK86lSQ_11_2"/>
      <w:bookmarkStart w:id="239" w:name="Tc_FIfCktXOikqyzI1e1Pl0XQ_11_0"/>
      <w:bookmarkStart w:id="240" w:name="Tc_QVHsy-h3A0SDpKc49Phecg_10_22"/>
      <w:bookmarkStart w:id="241" w:name="Tc_xPLD0R28f0WquxoCg-q9dw_10_14"/>
      <w:bookmarkStart w:id="242" w:name="Tc_g77cigW_5kKdh7LosWtOpw_10_0"/>
      <w:bookmarkStart w:id="243" w:name="Tc_IKXGjrRi_ka-mSvDxusA2w_9_14"/>
      <w:bookmarkStart w:id="244" w:name="Tc_FYBPSipzZECtu3CAtcZogQ_9_11"/>
      <w:bookmarkStart w:id="245" w:name="Tc_WP26b_JF-U6lCb0XRryWJg_9_8"/>
      <w:bookmarkStart w:id="246" w:name="Tc_YiGxxxXx9kmE3YwPSrUh4g_9_5"/>
      <w:bookmarkStart w:id="247" w:name="Tc_ppnU9VO7LUCWp-qmA30I1A_9_2"/>
      <w:bookmarkStart w:id="248" w:name="Tc_6UbCFq29sEytRpErsLDgsA_9_0"/>
      <w:bookmarkStart w:id="249" w:name="Tc_v8TYUBSBoEu2M_KDjYy0Iw_8_19"/>
      <w:bookmarkStart w:id="250" w:name="Tc_TL3cdgbooUuAVQNgBujZHQ_8_16"/>
      <w:bookmarkStart w:id="251" w:name="Tc_PEbS1snOckq9nY6SpuYlBQ_8_11"/>
      <w:bookmarkStart w:id="252" w:name="Tc_aOBnXKIBR0G1r03HIxsbaQ_8_8"/>
      <w:bookmarkStart w:id="253" w:name="Tc_JiL96o-TekWvIkF089c6ig_8_5"/>
      <w:bookmarkStart w:id="254" w:name="Tc_7Lebs5MgP0Gtx4c67kETKQ_8_2"/>
      <w:bookmarkStart w:id="255" w:name="Tc_z34xkODGwEqts_ibBHAHnw_8_0"/>
      <w:bookmarkStart w:id="256" w:name="Tc_piAAYcJekESX1bAy1TxyNw_7_19"/>
      <w:bookmarkStart w:id="257" w:name="Tc_AEHmdHL6FkOeAGlkL9WGiw_7_16"/>
      <w:bookmarkStart w:id="258" w:name="Tc_d8HS5pzdykOMK1bnzKmU0g_7_14"/>
      <w:bookmarkStart w:id="259" w:name="Tc_LJ4E0hO040uRCTNNW5x88Q_7_11"/>
      <w:bookmarkStart w:id="260" w:name="Tc_4YjgqURO60qG1wpE5J9KtA_7_0"/>
      <w:bookmarkStart w:id="261" w:name="Tc_1e1PjxnNkkC9ZfumzZRD4g_6_19"/>
      <w:bookmarkStart w:id="262" w:name="Tc_yVWKWfcMN0-ChrTo1v7kCQ_6_16"/>
      <w:bookmarkStart w:id="263" w:name="Tc_BfWmbAjlqUqLojZPFErpyw_6_14"/>
      <w:bookmarkStart w:id="264" w:name="Tc_hxYzj8nnTUC7yGzCg-9t3w_6_11"/>
      <w:bookmarkStart w:id="265" w:name="Tc_p5Dizsta1kmFr6C5PFtrGg_6_5"/>
      <w:bookmarkStart w:id="266" w:name="Tc_5iq3Qdztv0OEFur6VtS1TQ_6_2"/>
      <w:bookmarkStart w:id="267" w:name="Tc_cFi7PpJVyE6pbD34jPg-jQ_6_0"/>
      <w:bookmarkStart w:id="268" w:name="Tc_rEPFd4XlnEmtUZ2I95lPhg_5_21"/>
      <w:bookmarkStart w:id="269" w:name="Tc_n_JLNLbrb0yin0kN_1OtqA_5_18"/>
      <w:bookmarkStart w:id="270" w:name="Tc_0VoBOIDaY0eOim1ttkAs5Q_5_13"/>
      <w:bookmarkStart w:id="271" w:name="Tc_jqgrb4IYvkSguAzY1UEpBw_5_10"/>
      <w:bookmarkStart w:id="272" w:name="Tc_-Lzq5msWsUqBaVyeuH__ng_5_7"/>
      <w:bookmarkStart w:id="273" w:name="Tc_xpCVq_pVhk-bBfjrrgEe0g_5_4"/>
      <w:bookmarkStart w:id="274" w:name="Tc_AZw29PM50UmVF0E_nkGxoQ_5_0"/>
      <w:bookmarkStart w:id="275" w:name="Tc_svuRL7VoI0GsfsJ3xwDExg_4_21"/>
      <w:bookmarkStart w:id="276" w:name="Tc_5AM9g1z7MEyANIRs4NZzOg_4_18"/>
      <w:bookmarkStart w:id="277" w:name="Tc_XgnABcDltkqwJXFAgA1jbQ_4_16"/>
      <w:bookmarkStart w:id="278" w:name="Tc_TBhijnhWO0e_C-ZkwD9s4g_4_13"/>
      <w:bookmarkStart w:id="279" w:name="Tc_CfQPMNBHo0qtH_87W1tCbA_4_10"/>
      <w:bookmarkStart w:id="280" w:name="Tc_W0MOIyyZOUy4GFF4awKsAA_4_7"/>
      <w:bookmarkStart w:id="281" w:name="Tc_5uPoEDmN5UufzUI1KAENFQ_4_4"/>
      <w:bookmarkStart w:id="282" w:name="Tc_K4Bb6qDon0GAyHCmFYZJwg_4_2"/>
      <w:bookmarkStart w:id="283" w:name="Tc_blXYrek5T0KhIUO_OnZefw_3_21"/>
      <w:bookmarkStart w:id="284" w:name="Tc_oKYwEiuD_ki0KhppVatqzw_3_16"/>
      <w:bookmarkStart w:id="285" w:name="Tc_PcK2xvaYkUyRq0K8t-zulg_3_13"/>
      <w:bookmarkStart w:id="286" w:name="Tc_r06vUrwtEUmYG-IOuGPxmg_3_10"/>
      <w:bookmarkStart w:id="287" w:name="Tc_i7skgpIZGEGb6OjG4H1AlQ_3_7"/>
      <w:bookmarkStart w:id="288" w:name="Tc_7a6WGG4jskSgtTQ9xyKpbw_3_2"/>
      <w:bookmarkStart w:id="289" w:name="Tc_GRjdFxbkLU6SUHX11WroRQ_2_21"/>
      <w:bookmarkStart w:id="290" w:name="Tc_PKRy1cTsMEKNo2pWUmw32A_2_13"/>
      <w:bookmarkStart w:id="291" w:name="_7a4560e4_7e00_4866_9e2e_3d3fd636dbde"/>
      <w:bookmarkStart w:id="292" w:name="Tc_ZytMMQ8m20qAJZbrIILDew_13_21"/>
      <w:bookmarkStart w:id="293" w:name="Tc_m210dPW900C1Tpzzcg-Ozg_13_18"/>
      <w:bookmarkStart w:id="294" w:name="Tc_eTvmCElRxEKHysw0sOtLvg_13_13"/>
      <w:bookmarkStart w:id="295" w:name="Tc_N7BtWOphIkquf9xQiqjVpA_13_10"/>
      <w:bookmarkStart w:id="296" w:name="Tc_ep0fWZF30U-HLt43_zH3SA_13_7"/>
      <w:bookmarkStart w:id="297" w:name="Tc_TTDoL3VXckWY6UlAGfJMVg_13_4"/>
      <w:bookmarkStart w:id="298" w:name="Tc_ahyEoMaawUaQgIkPcD7Ajw_13_0"/>
      <w:bookmarkStart w:id="299" w:name="Tc_MUnwdwCCiU2Ie90NmESSbA_12_19"/>
      <w:bookmarkStart w:id="300" w:name="Tc_MTSpOi8DbUei3_-ZNNwZMA_12_16"/>
      <w:bookmarkStart w:id="301" w:name="Tc_dA420yMqPUOrDZWTKNz2lg_12_14"/>
      <w:bookmarkStart w:id="302" w:name="Tc_-_w3RKAGBUuNP7zfYvkTyg_12_8"/>
      <w:bookmarkStart w:id="303" w:name="Tc_QzK1vZzDKEe1mYrZVfDq3g_12_5"/>
      <w:bookmarkStart w:id="304" w:name="Tc_ybBo4KI3fECKLJ3ZnkRroQ_12_2"/>
      <w:bookmarkStart w:id="305" w:name="Tc_8Cc4C_kyjEOtR09FOjPs_w_12_0"/>
      <w:bookmarkStart w:id="306" w:name="Tc_JsF9XTtXBEWuRdS1BNqO_A_11_19"/>
      <w:bookmarkStart w:id="307" w:name="Tc_NtOk4QVjDUG2UsI5an7Z-w_11_16"/>
      <w:bookmarkStart w:id="308" w:name="Tc_p4kJFw-orEaBAi9QfgoZiA_11_11"/>
      <w:bookmarkStart w:id="309" w:name="Tc_CIWbnFjk9EiZVnNmNAm46A_11_8"/>
      <w:bookmarkStart w:id="310" w:name="Tc_j20eyoM1-EW9h9kSXGIirw_11_5"/>
      <w:bookmarkStart w:id="311" w:name="Tc_RJcKPvUa9k6pZzLWK86lSQ_11_2"/>
      <w:bookmarkStart w:id="312" w:name="Tc_FIfCktXOikqyzI1e1Pl0XQ_11_0"/>
      <w:bookmarkStart w:id="313" w:name="Tc_QVHsy-h3A0SDpKc49Phecg_10_22"/>
      <w:bookmarkStart w:id="314" w:name="Tc_xPLD0R28f0WquxoCg-q9dw_10_14"/>
      <w:bookmarkStart w:id="315" w:name="Tc_g77cigW_5kKdh7LosWtOpw_10_0"/>
      <w:bookmarkStart w:id="316" w:name="Tc_IKXGjrRi_ka-mSvDxusA2w_9_14"/>
      <w:bookmarkStart w:id="317" w:name="Tc_FYBPSipzZECtu3CAtcZogQ_9_11"/>
      <w:bookmarkStart w:id="318" w:name="Tc_WP26b_JF-U6lCb0XRryWJg_9_8"/>
      <w:bookmarkStart w:id="319" w:name="Tc_YiGxxxXx9kmE3YwPSrUh4g_9_5"/>
      <w:bookmarkStart w:id="320" w:name="Tc_ppnU9VO7LUCWp-qmA30I1A_9_2"/>
      <w:bookmarkStart w:id="321" w:name="Tc_6UbCFq29sEytRpErsLDgsA_9_0"/>
      <w:bookmarkStart w:id="322" w:name="Tc_v8TYUBSBoEu2M_KDjYy0Iw_8_19"/>
      <w:bookmarkStart w:id="323" w:name="Tc_TL3cdgbooUuAVQNgBujZHQ_8_16"/>
      <w:bookmarkStart w:id="324" w:name="Tc_PEbS1snOckq9nY6SpuYlBQ_8_11"/>
      <w:bookmarkStart w:id="325" w:name="Tc_aOBnXKIBR0G1r03HIxsbaQ_8_8"/>
      <w:bookmarkStart w:id="326" w:name="Tc_JiL96o-TekWvIkF089c6ig_8_5"/>
      <w:bookmarkStart w:id="327" w:name="Tc_7Lebs5MgP0Gtx4c67kETKQ_8_2"/>
      <w:bookmarkStart w:id="328" w:name="Tc_z34xkODGwEqts_ibBHAHnw_8_0"/>
      <w:bookmarkStart w:id="329" w:name="Tc_piAAYcJekESX1bAy1TxyNw_7_19"/>
      <w:bookmarkStart w:id="330" w:name="Tc_AEHmdHL6FkOeAGlkL9WGiw_7_16"/>
      <w:bookmarkStart w:id="331" w:name="Tc_d8HS5pzdykOMK1bnzKmU0g_7_14"/>
      <w:bookmarkStart w:id="332" w:name="Tc_LJ4E0hO040uRCTNNW5x88Q_7_11"/>
      <w:bookmarkStart w:id="333" w:name="Tc_4YjgqURO60qG1wpE5J9KtA_7_0"/>
      <w:bookmarkStart w:id="334" w:name="Tc_1e1PjxnNkkC9ZfumzZRD4g_6_19"/>
      <w:bookmarkStart w:id="335" w:name="Tc_yVWKWfcMN0-ChrTo1v7kCQ_6_16"/>
      <w:bookmarkStart w:id="336" w:name="Tc_BfWmbAjlqUqLojZPFErpyw_6_14"/>
      <w:bookmarkStart w:id="337" w:name="Tc_hxYzj8nnTUC7yGzCg-9t3w_6_11"/>
      <w:bookmarkStart w:id="338" w:name="Tc_p5Dizsta1kmFr6C5PFtrGg_6_5"/>
      <w:bookmarkStart w:id="339" w:name="Tc_5iq3Qdztv0OEFur6VtS1TQ_6_2"/>
      <w:bookmarkStart w:id="340" w:name="Tc_cFi7PpJVyE6pbD34jPg-jQ_6_0"/>
      <w:bookmarkStart w:id="341" w:name="Tc_rEPFd4XlnEmtUZ2I95lPhg_5_21"/>
      <w:bookmarkStart w:id="342" w:name="Tc_n_JLNLbrb0yin0kN_1OtqA_5_18"/>
      <w:bookmarkStart w:id="343" w:name="Tc_0VoBOIDaY0eOim1ttkAs5Q_5_13"/>
      <w:bookmarkStart w:id="344" w:name="Tc_jqgrb4IYvkSguAzY1UEpBw_5_10"/>
      <w:bookmarkStart w:id="345" w:name="Tc_-Lzq5msWsUqBaVyeuH__ng_5_7"/>
      <w:bookmarkStart w:id="346" w:name="Tc_xpCVq_pVhk-bBfjrrgEe0g_5_4"/>
      <w:bookmarkStart w:id="347" w:name="Tc_AZw29PM50UmVF0E_nkGxoQ_5_0"/>
      <w:bookmarkStart w:id="348" w:name="Tc_svuRL7VoI0GsfsJ3xwDExg_4_21"/>
      <w:bookmarkStart w:id="349" w:name="Tc_5AM9g1z7MEyANIRs4NZzOg_4_18"/>
      <w:bookmarkStart w:id="350" w:name="Tc_XgnABcDltkqwJXFAgA1jbQ_4_16"/>
      <w:bookmarkStart w:id="351" w:name="Tc_TBhijnhWO0e_C-ZkwD9s4g_4_13"/>
      <w:bookmarkStart w:id="352" w:name="Tc_CfQPMNBHo0qtH_87W1tCbA_4_10"/>
      <w:bookmarkStart w:id="353" w:name="Tc_W0MOIyyZOUy4GFF4awKsAA_4_7"/>
      <w:bookmarkStart w:id="354" w:name="Tc_5uPoEDmN5UufzUI1KAENFQ_4_4"/>
      <w:bookmarkStart w:id="355" w:name="Tc_K4Bb6qDon0GAyHCmFYZJwg_4_2"/>
      <w:bookmarkStart w:id="356" w:name="Tc_blXYrek5T0KhIUO_OnZefw_3_21"/>
      <w:bookmarkStart w:id="357" w:name="Tc_oKYwEiuD_ki0KhppVatqzw_3_16"/>
      <w:bookmarkStart w:id="358" w:name="Tc_PcK2xvaYkUyRq0K8t-zulg_3_13"/>
      <w:bookmarkStart w:id="359" w:name="Tc_r06vUrwtEUmYG-IOuGPxmg_3_10"/>
      <w:bookmarkStart w:id="360" w:name="Tc_i7skgpIZGEGb6OjG4H1AlQ_3_7"/>
      <w:bookmarkStart w:id="361" w:name="Tc_7a6WGG4jskSgtTQ9xyKpbw_3_2"/>
      <w:bookmarkStart w:id="362" w:name="Tc_GRjdFxbkLU6SUHX11WroRQ_2_21"/>
      <w:bookmarkStart w:id="363" w:name="Tc_PKRy1cTsMEKNo2pWUmw32A_2_13"/>
      <w:bookmarkStart w:id="364" w:name="_7a4560e4_7e00_4866_9e2e_3d3fd636dbde"/>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p>
    <w:tbl>
      <w:tblPr>
        <w:tblW w:w="11936" w:type="dxa"/>
        <w:jc w:val="left"/>
        <w:tblInd w:w="0" w:type="dxa"/>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86"/>
        <w:gridCol w:w="326"/>
        <w:gridCol w:w="316"/>
        <w:gridCol w:w="900"/>
        <w:gridCol w:w="326"/>
        <w:gridCol w:w="751"/>
        <w:gridCol w:w="326"/>
        <w:gridCol w:w="196"/>
        <w:gridCol w:w="886"/>
        <w:gridCol w:w="326"/>
        <w:gridCol w:w="196"/>
        <w:gridCol w:w="931"/>
      </w:tblGrid>
      <w:tr>
        <w:trPr/>
        <w:tc>
          <w:tcPr>
            <w:tcW w:w="1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838835" cy="175260"/>
                      <wp:effectExtent l="0" t="0" r="0" b="0"/>
                      <wp:wrapNone/>
                      <wp:docPr id="25" name="Frame25"/>
                      <a:graphic xmlns:a="http://schemas.openxmlformats.org/drawingml/2006/main">
                        <a:graphicData uri="http://schemas.microsoft.com/office/word/2010/wordprocessingShape">
                          <wps:wsp>
                            <wps:cNvSpPr txBox="1"/>
                            <wps:spPr>
                              <a:xfrm>
                                <a:off x="0" y="0"/>
                                <a:ext cx="838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6" name="Frame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524510" cy="175260"/>
                      <wp:effectExtent l="0" t="0" r="0" b="0"/>
                      <wp:wrapNone/>
                      <wp:docPr id="27" name="Frame27"/>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8" name="Frame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24460" cy="175260"/>
                      <wp:effectExtent l="0" t="0" r="0" b="0"/>
                      <wp:wrapNone/>
                      <wp:docPr id="29" name="Frame2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324485" cy="175260"/>
                      <wp:effectExtent l="0" t="0" r="0" b="0"/>
                      <wp:wrapNone/>
                      <wp:docPr id="30" name="Frame30"/>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1" name="Frame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7955" cy="175260"/>
                      <wp:effectExtent l="0" t="0" r="0" b="0"/>
                      <wp:wrapNone/>
                      <wp:docPr id="32" name="Frame32"/>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24205" cy="175260"/>
                      <wp:effectExtent l="0" t="0" r="0" b="0"/>
                      <wp:wrapNone/>
                      <wp:docPr id="33" name="Frame33"/>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4" name="Frame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24460" cy="175260"/>
                      <wp:effectExtent l="0" t="0" r="0" b="0"/>
                      <wp:wrapNone/>
                      <wp:docPr id="35" name="Frame3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62610" cy="175260"/>
                      <wp:effectExtent l="0" t="0" r="0" b="0"/>
                      <wp:wrapNone/>
                      <wp:docPr id="36" name="Frame3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7" name="Frame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0660" cy="175260"/>
                      <wp:effectExtent l="0" t="0" r="0" b="0"/>
                      <wp:wrapNone/>
                      <wp:docPr id="38" name="Frame38"/>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71500" cy="175260"/>
                      <wp:effectExtent l="0" t="0" r="0" b="0"/>
                      <wp:wrapNone/>
                      <wp:docPr id="39" name="Frame39"/>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40" name="Frame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76885" cy="175260"/>
                      <wp:effectExtent l="0" t="0" r="0" b="0"/>
                      <wp:wrapNone/>
                      <wp:docPr id="41" name="Frame41"/>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42" name="Frame4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124460" cy="175260"/>
                      <wp:effectExtent l="0" t="0" r="0" b="0"/>
                      <wp:wrapNone/>
                      <wp:docPr id="43" name="Frame4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562610" cy="175260"/>
                      <wp:effectExtent l="0" t="0" r="0" b="0"/>
                      <wp:wrapNone/>
                      <wp:docPr id="44" name="Frame44"/>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124460" cy="175260"/>
                      <wp:effectExtent l="0" t="0" r="0" b="0"/>
                      <wp:wrapNone/>
                      <wp:docPr id="46" name="Frame4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591185" cy="175260"/>
                      <wp:effectExtent l="0" t="0" r="0" b="0"/>
                      <wp:wrapNone/>
                      <wp:docPr id="47" name="Frame4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jc w:val="center"/>
              <w:rPr/>
            </w:pPr>
            <w:r>
              <w:rPr/>
              <w:t>​</w:t>
            </w:r>
          </w:p>
        </w:tc>
        <w:tc>
          <w:tcPr>
            <w:tcW w:w="90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jc w:val="center"/>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08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21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shd w:fill="auto" w:val="clear"/>
            <w:vAlign w:val="center"/>
          </w:tcPr>
          <w:p>
            <w:pPr>
              <w:pStyle w:val="TableContents"/>
              <w:spacing w:before="0" w:after="0"/>
              <w:ind w:left="0" w:right="0" w:hanging="0"/>
              <w:rPr/>
            </w:pPr>
            <w:r>
              <w:rPr/>
              <w:t>​</w:t>
            </w:r>
          </w:p>
        </w:tc>
        <w:tc>
          <w:tcPr>
            <w:tcW w:w="11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December 31, 2022</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1,283,688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6,418</w:t>
            </w:r>
          </w:p>
        </w:tc>
        <w:tc>
          <w:tcPr>
            <w:tcW w:w="326" w:type="dxa"/>
            <w:tcBorders/>
            <w:shd w:fill="CCEEFF" w:val="clear"/>
            <w:vAlign w:val="center"/>
          </w:tcPr>
          <w:p>
            <w:pPr>
              <w:pStyle w:val="TableContents"/>
              <w:spacing w:before="0" w:after="0"/>
              <w:ind w:left="0" w:right="0" w:hanging="0"/>
              <w:rPr/>
            </w:pPr>
            <w:r>
              <w:rPr/>
              <w:t> </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4,776,804</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9,001,173</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(159,073)</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(239,088)</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(6,600,281)</w:t>
            </w:r>
          </w:p>
        </w:tc>
        <w:tc>
          <w:tcPr>
            <w:tcW w:w="326" w:type="dxa"/>
            <w:tcBorders/>
            <w:shd w:fill="CCEEFF" w:val="clear"/>
            <w:vAlign w:val="center"/>
          </w:tcPr>
          <w:p>
            <w:pPr>
              <w:pStyle w:val="TableContents"/>
              <w:spacing w:before="0" w:after="0"/>
              <w:ind w:left="0" w:right="0" w:hanging="0"/>
              <w:rPr/>
            </w:pPr>
            <w:r>
              <w:rPr/>
              <w:t> </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7,025,041</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90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15,743</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3,704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36,329</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c>
          <w:tcPr>
            <w:tcW w:w="90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36,348</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3,181</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c>
          <w:tcPr>
            <w:tcW w:w="90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(1,688)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(90,378)</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Retirement of treasury stock</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(850)</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425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(4,692,425)</w:t>
            </w:r>
          </w:p>
        </w:tc>
        <w:tc>
          <w:tcPr>
            <w:tcW w:w="326"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900"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170,000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4,692,850</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7,981</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auto" w:val="cle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51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8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c>
          <w:tcPr>
            <w:tcW w:w="326"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0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397,444</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March 31, 2023</w:t>
            </w:r>
          </w:p>
        </w:tc>
        <w:tc>
          <w:tcPr>
            <w:tcW w:w="326" w:type="dxa"/>
            <w:tcBorders/>
            <w:shd w:fill="CCEEFF" w:val="clear"/>
            <w:vAlign w:val="center"/>
          </w:tcPr>
          <w:p>
            <w:pPr>
              <w:pStyle w:val="TableContents"/>
              <w:spacing w:before="0" w:after="0"/>
              <w:ind w:left="0" w:right="0" w:hanging="0"/>
              <w:rPr/>
            </w:pPr>
            <w:r>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1,117,392</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5,587</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4,829,301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4,706,192</w:t>
            </w:r>
          </w:p>
        </w:tc>
        <w:tc>
          <w:tcPr>
            <w:tcW w:w="326" w:type="dxa"/>
            <w:tcBorders/>
            <w:shd w:fill="CCEEFF" w:val="clear"/>
            <w:vAlign w:val="center"/>
          </w:tcPr>
          <w:p>
            <w:pPr>
              <w:pStyle w:val="TableContents"/>
              <w:spacing w:before="0" w:after="0"/>
              <w:ind w:left="0" w:right="0" w:hanging="0"/>
              <w:rPr/>
            </w:pPr>
            <w:r>
              <w:rPr/>
              <w: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0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(147,911)</w:t>
            </w:r>
          </w:p>
        </w:tc>
        <w:tc>
          <w:tcPr>
            <w:tcW w:w="326" w:type="dxa"/>
            <w:tcBorders/>
            <w:shd w:fill="CCEEFF" w:val="clear"/>
            <w:vAlign w:val="center"/>
          </w:tcPr>
          <w:p>
            <w:pPr>
              <w:pStyle w:val="TableContents"/>
              <w:spacing w:before="0" w:after="0"/>
              <w:ind w:left="0" w:right="0" w:hanging="0"/>
              <w:rPr/>
            </w:pPr>
            <w:r>
              <w:rPr/>
              <w:t>​</w:t>
            </w:r>
          </w:p>
        </w:tc>
        <w:tc>
          <w:tcPr>
            <w:tcW w:w="75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(70,776)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(1,997,809)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7,395,360</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365" w:name="Tc_voL8UEvp0k-ysCln38oriw_12_21"/>
      <w:bookmarkStart w:id="366" w:name="Tc_zK1zyzCoBkiMJdCwVVqCrQ_12_18"/>
      <w:bookmarkStart w:id="367" w:name="Tc_OVyuOjbPsE2-DPJD2l4Cbg_12_13"/>
      <w:bookmarkStart w:id="368" w:name="Tc_iURIz9iak0Wf_781sfVVrg_12_10"/>
      <w:bookmarkStart w:id="369" w:name="Tc_l8AUP28aVE66hxd3GTLmMg_12_7"/>
      <w:bookmarkStart w:id="370" w:name="Tc_40MHoQttGkWacmdwQGyaGQ_12_4"/>
      <w:bookmarkStart w:id="371" w:name="Tc_DvIyQy8NTUG4AQmXIQ3wNQ_12_0"/>
      <w:bookmarkStart w:id="372" w:name="Tc_T_N2E7imNUmHMj5lrItF6A_11_19"/>
      <w:bookmarkStart w:id="373" w:name="Tc_QFT9wGJaSkKutG0xs9hUmA_11_16"/>
      <w:bookmarkStart w:id="374" w:name="Tc_kpEfDKPt_kyRGmegPPjXVg_11_14"/>
      <w:bookmarkStart w:id="375" w:name="Tc_TsX3gIg66k-ftQFnOMJQQQ_11_8"/>
      <w:bookmarkStart w:id="376" w:name="Tc_GA2-2vXp80Sx7u4Wdmrslg_11_5"/>
      <w:bookmarkStart w:id="377" w:name="Tc_49I6QfmqG0yRBn-nKsVR2A_11_2"/>
      <w:bookmarkStart w:id="378" w:name="Tc_AqBS72lit0Sde6XtZRMBIw_11_0"/>
      <w:bookmarkStart w:id="379" w:name="Tc_c5bIMCq7GEapcLtrfw3qjQ_10_19"/>
      <w:bookmarkStart w:id="380" w:name="Tc_u7byBEzCFkCdFAevkI-gKw_10_16"/>
      <w:bookmarkStart w:id="381" w:name="Tc_LlLaylVm9Ey9tpmqtB9qlA_10_11"/>
      <w:bookmarkStart w:id="382" w:name="Tc_KCCyWoMrBUGuSiAz1L56Eg_10_8"/>
      <w:bookmarkStart w:id="383" w:name="Tc_ZELMOQcFhU6I4bCc0Bf9zg_10_5"/>
      <w:bookmarkStart w:id="384" w:name="Tc_B5YbOQR_R0Wnqs2irbL5-Q_10_2"/>
      <w:bookmarkStart w:id="385" w:name="Tc_XR1LTJIryU6N_inyza1Myg_10_0"/>
      <w:bookmarkStart w:id="386" w:name="Tc_DraixqFrT0iH8SdDKOqcSw_9_14"/>
      <w:bookmarkStart w:id="387" w:name="Tc_ekY6SKUn1UizsmfZwVjeGQ_9_11"/>
      <w:bookmarkStart w:id="388" w:name="Tc_0Ff2CC0pmEOenVCGtTWWcg_9_8"/>
      <w:bookmarkStart w:id="389" w:name="Tc_3LTIvphWIUusmK-gjWck_g_9_5"/>
      <w:bookmarkStart w:id="390" w:name="Tc_pTNbLUZBh0S6jf2vjqFdig_9_2"/>
      <w:bookmarkStart w:id="391" w:name="Tc_NK03QxFixES6fCl6uX9FOw_9_0"/>
      <w:bookmarkStart w:id="392" w:name="Tc_Wkp2ZWWmRE63MwH7RTw8KA_8_19"/>
      <w:bookmarkStart w:id="393" w:name="Tc_Mb7V_6ux9kOg_R8Xt5t4jg_8_16"/>
      <w:bookmarkStart w:id="394" w:name="Tc_Dd-2votLM0-N5OxCk1cMoQ_8_11"/>
      <w:bookmarkStart w:id="395" w:name="Tc_cuaIcZNLK0GFald_O7B6kQ_8_8"/>
      <w:bookmarkStart w:id="396" w:name="Tc_bE2UlF5nEkm9lRWSSOBPkw_8_5"/>
      <w:bookmarkStart w:id="397" w:name="Tc_RxL5twZ6EkChW0skXhwoZw_8_2"/>
      <w:bookmarkStart w:id="398" w:name="Tc_TXnpcnKzb02u4v64sWDD4w_8_0"/>
      <w:bookmarkStart w:id="399" w:name="Tc_AAd_QeGoXU-1OpoaA64QaQ_7_19"/>
      <w:bookmarkStart w:id="400" w:name="Tc__7p91yKxlUWEUQo9HH37UA_7_16"/>
      <w:bookmarkStart w:id="401" w:name="Tc_QSdFwU94YkGcuqoH3-x2mQ_7_14"/>
      <w:bookmarkStart w:id="402" w:name="Tc_7tSV-iH3CkqYxeDvhw_SWw_7_11"/>
      <w:bookmarkStart w:id="403" w:name="Tc_NDomBSsuk06Khep6siQzSw_7_0"/>
      <w:bookmarkStart w:id="404" w:name="Tc_GWh1Rj78o02p71DiDFeqyQ_6_19"/>
      <w:bookmarkStart w:id="405" w:name="Tc_yI8WCuMN50eEJJRmESmH3Q_6_16"/>
      <w:bookmarkStart w:id="406" w:name="Tc__SCLUvz3VUWdQP58yTL8Ig_6_14"/>
      <w:bookmarkStart w:id="407" w:name="Tc_xWwjm3C2BE2z6_1Gm-EOaA_6_11"/>
      <w:bookmarkStart w:id="408" w:name="Tc_uOrhuWtaEEqHlbWZR7RKhA_6_5"/>
      <w:bookmarkStart w:id="409" w:name="Tc_AQ9WBRXUK0i_8zd3QDuxYA_6_2"/>
      <w:bookmarkStart w:id="410" w:name="Tc_fRKNbQq2hUm6SepRQoOlLQ_6_0"/>
      <w:bookmarkStart w:id="411" w:name="Tc_CBKn_5GiNU26kK7jzALb_A_5_21"/>
      <w:bookmarkStart w:id="412" w:name="Tc_Z8ztrcyDFkqNPivJuHl8UQ_5_18"/>
      <w:bookmarkStart w:id="413" w:name="Tc_hd97kc8u8EaLH9B-nGXBrw_5_13"/>
      <w:bookmarkStart w:id="414" w:name="Tc_fcQOOG9C1Eeu3gWwI_a5Tw_5_10"/>
      <w:bookmarkStart w:id="415" w:name="Tc_Md0USbga206c4501kUkpEA_5_7"/>
      <w:bookmarkStart w:id="416" w:name="Tc_VhQldWCYgUW5upnICpOl7A_5_4"/>
      <w:bookmarkStart w:id="417" w:name="Tc_g04t5-otRkSOHo6rv3-8kg_5_0"/>
      <w:bookmarkStart w:id="418" w:name="Tc_ADyzDkIXpUa45pq-IYxSpg_4_21"/>
      <w:bookmarkStart w:id="419" w:name="Tc_EusIhToHjkaVF1G5Ww-UJw_4_18"/>
      <w:bookmarkStart w:id="420" w:name="Tc_Ji94LdeVC0u8dO8xiqZmpQ_4_16"/>
      <w:bookmarkStart w:id="421" w:name="Tc_QhDtFQ75D0K6XZnY15gq-A_4_13"/>
      <w:bookmarkStart w:id="422" w:name="Tc_Pa-3CyV430-EXiIE8ay46g_4_10"/>
      <w:bookmarkStart w:id="423" w:name="Tc_--9Zh4bRFUK1o7UnwlWavw_4_7"/>
      <w:bookmarkStart w:id="424" w:name="Tc_g4uaIkerGkKq4H9JYAhCoQ_4_4"/>
      <w:bookmarkStart w:id="425" w:name="Tc_deqEnZ974UuaKGgWrhQRCA_4_2"/>
      <w:bookmarkStart w:id="426" w:name="Tc_TGS_v3-20EGT5UmfpC68QA_3_21"/>
      <w:bookmarkStart w:id="427" w:name="Tc_XhX7TZBiEEOsgX17dGZgjw_3_16"/>
      <w:bookmarkStart w:id="428" w:name="Tc_RVYMrDGEX0aegPbqVGz0Ig_3_13"/>
      <w:bookmarkStart w:id="429" w:name="Tc_tVYMOxU7TUefRyM5ZOv5Eg_3_10"/>
      <w:bookmarkStart w:id="430" w:name="Tc_f0LR0AABfUaL_6etscBstw_3_7"/>
      <w:bookmarkStart w:id="431" w:name="Tc_be8EIUXZkUS2_2SVmhlgnQ_3_2"/>
      <w:bookmarkStart w:id="432" w:name="Tc_DcG2lRqYikK096tafrlLqg_2_21"/>
      <w:bookmarkStart w:id="433" w:name="Tc_UDmGyY8RGUqbtrooDJvOnw_2_13"/>
      <w:bookmarkStart w:id="434" w:name="_f30de4c4_50e8_4b76_95e7_5cf508d24da9"/>
      <w:bookmarkStart w:id="435" w:name="Tc_voL8UEvp0k-ysCln38oriw_12_21"/>
      <w:bookmarkStart w:id="436" w:name="Tc_zK1zyzCoBkiMJdCwVVqCrQ_12_18"/>
      <w:bookmarkStart w:id="437" w:name="Tc_OVyuOjbPsE2-DPJD2l4Cbg_12_13"/>
      <w:bookmarkStart w:id="438" w:name="Tc_iURIz9iak0Wf_781sfVVrg_12_10"/>
      <w:bookmarkStart w:id="439" w:name="Tc_l8AUP28aVE66hxd3GTLmMg_12_7"/>
      <w:bookmarkStart w:id="440" w:name="Tc_40MHoQttGkWacmdwQGyaGQ_12_4"/>
      <w:bookmarkStart w:id="441" w:name="Tc_DvIyQy8NTUG4AQmXIQ3wNQ_12_0"/>
      <w:bookmarkStart w:id="442" w:name="Tc_T_N2E7imNUmHMj5lrItF6A_11_19"/>
      <w:bookmarkStart w:id="443" w:name="Tc_QFT9wGJaSkKutG0xs9hUmA_11_16"/>
      <w:bookmarkStart w:id="444" w:name="Tc_kpEfDKPt_kyRGmegPPjXVg_11_14"/>
      <w:bookmarkStart w:id="445" w:name="Tc_TsX3gIg66k-ftQFnOMJQQQ_11_8"/>
      <w:bookmarkStart w:id="446" w:name="Tc_GA2-2vXp80Sx7u4Wdmrslg_11_5"/>
      <w:bookmarkStart w:id="447" w:name="Tc_49I6QfmqG0yRBn-nKsVR2A_11_2"/>
      <w:bookmarkStart w:id="448" w:name="Tc_AqBS72lit0Sde6XtZRMBIw_11_0"/>
      <w:bookmarkStart w:id="449" w:name="Tc_c5bIMCq7GEapcLtrfw3qjQ_10_19"/>
      <w:bookmarkStart w:id="450" w:name="Tc_u7byBEzCFkCdFAevkI-gKw_10_16"/>
      <w:bookmarkStart w:id="451" w:name="Tc_LlLaylVm9Ey9tpmqtB9qlA_10_11"/>
      <w:bookmarkStart w:id="452" w:name="Tc_KCCyWoMrBUGuSiAz1L56Eg_10_8"/>
      <w:bookmarkStart w:id="453" w:name="Tc_ZELMOQcFhU6I4bCc0Bf9zg_10_5"/>
      <w:bookmarkStart w:id="454" w:name="Tc_B5YbOQR_R0Wnqs2irbL5-Q_10_2"/>
      <w:bookmarkStart w:id="455" w:name="Tc_XR1LTJIryU6N_inyza1Myg_10_0"/>
      <w:bookmarkStart w:id="456" w:name="Tc_DraixqFrT0iH8SdDKOqcSw_9_14"/>
      <w:bookmarkStart w:id="457" w:name="Tc_ekY6SKUn1UizsmfZwVjeGQ_9_11"/>
      <w:bookmarkStart w:id="458" w:name="Tc_0Ff2CC0pmEOenVCGtTWWcg_9_8"/>
      <w:bookmarkStart w:id="459" w:name="Tc_3LTIvphWIUusmK-gjWck_g_9_5"/>
      <w:bookmarkStart w:id="460" w:name="Tc_pTNbLUZBh0S6jf2vjqFdig_9_2"/>
      <w:bookmarkStart w:id="461" w:name="Tc_NK03QxFixES6fCl6uX9FOw_9_0"/>
      <w:bookmarkStart w:id="462" w:name="Tc_Wkp2ZWWmRE63MwH7RTw8KA_8_19"/>
      <w:bookmarkStart w:id="463" w:name="Tc_Mb7V_6ux9kOg_R8Xt5t4jg_8_16"/>
      <w:bookmarkStart w:id="464" w:name="Tc_Dd-2votLM0-N5OxCk1cMoQ_8_11"/>
      <w:bookmarkStart w:id="465" w:name="Tc_cuaIcZNLK0GFald_O7B6kQ_8_8"/>
      <w:bookmarkStart w:id="466" w:name="Tc_bE2UlF5nEkm9lRWSSOBPkw_8_5"/>
      <w:bookmarkStart w:id="467" w:name="Tc_RxL5twZ6EkChW0skXhwoZw_8_2"/>
      <w:bookmarkStart w:id="468" w:name="Tc_TXnpcnKzb02u4v64sWDD4w_8_0"/>
      <w:bookmarkStart w:id="469" w:name="Tc_AAd_QeGoXU-1OpoaA64QaQ_7_19"/>
      <w:bookmarkStart w:id="470" w:name="Tc__7p91yKxlUWEUQo9HH37UA_7_16"/>
      <w:bookmarkStart w:id="471" w:name="Tc_QSdFwU94YkGcuqoH3-x2mQ_7_14"/>
      <w:bookmarkStart w:id="472" w:name="Tc_7tSV-iH3CkqYxeDvhw_SWw_7_11"/>
      <w:bookmarkStart w:id="473" w:name="Tc_NDomBSsuk06Khep6siQzSw_7_0"/>
      <w:bookmarkStart w:id="474" w:name="Tc_GWh1Rj78o02p71DiDFeqyQ_6_19"/>
      <w:bookmarkStart w:id="475" w:name="Tc_yI8WCuMN50eEJJRmESmH3Q_6_16"/>
      <w:bookmarkStart w:id="476" w:name="Tc__SCLUvz3VUWdQP58yTL8Ig_6_14"/>
      <w:bookmarkStart w:id="477" w:name="Tc_xWwjm3C2BE2z6_1Gm-EOaA_6_11"/>
      <w:bookmarkStart w:id="478" w:name="Tc_uOrhuWtaEEqHlbWZR7RKhA_6_5"/>
      <w:bookmarkStart w:id="479" w:name="Tc_AQ9WBRXUK0i_8zd3QDuxYA_6_2"/>
      <w:bookmarkStart w:id="480" w:name="Tc_fRKNbQq2hUm6SepRQoOlLQ_6_0"/>
      <w:bookmarkStart w:id="481" w:name="Tc_CBKn_5GiNU26kK7jzALb_A_5_21"/>
      <w:bookmarkStart w:id="482" w:name="Tc_Z8ztrcyDFkqNPivJuHl8UQ_5_18"/>
      <w:bookmarkStart w:id="483" w:name="Tc_hd97kc8u8EaLH9B-nGXBrw_5_13"/>
      <w:bookmarkStart w:id="484" w:name="Tc_fcQOOG9C1Eeu3gWwI_a5Tw_5_10"/>
      <w:bookmarkStart w:id="485" w:name="Tc_Md0USbga206c4501kUkpEA_5_7"/>
      <w:bookmarkStart w:id="486" w:name="Tc_VhQldWCYgUW5upnICpOl7A_5_4"/>
      <w:bookmarkStart w:id="487" w:name="Tc_g04t5-otRkSOHo6rv3-8kg_5_0"/>
      <w:bookmarkStart w:id="488" w:name="Tc_ADyzDkIXpUa45pq-IYxSpg_4_21"/>
      <w:bookmarkStart w:id="489" w:name="Tc_EusIhToHjkaVF1G5Ww-UJw_4_18"/>
      <w:bookmarkStart w:id="490" w:name="Tc_Ji94LdeVC0u8dO8xiqZmpQ_4_16"/>
      <w:bookmarkStart w:id="491" w:name="Tc_QhDtFQ75D0K6XZnY15gq-A_4_13"/>
      <w:bookmarkStart w:id="492" w:name="Tc_Pa-3CyV430-EXiIE8ay46g_4_10"/>
      <w:bookmarkStart w:id="493" w:name="Tc_--9Zh4bRFUK1o7UnwlWavw_4_7"/>
      <w:bookmarkStart w:id="494" w:name="Tc_g4uaIkerGkKq4H9JYAhCoQ_4_4"/>
      <w:bookmarkStart w:id="495" w:name="Tc_deqEnZ974UuaKGgWrhQRCA_4_2"/>
      <w:bookmarkStart w:id="496" w:name="Tc_TGS_v3-20EGT5UmfpC68QA_3_21"/>
      <w:bookmarkStart w:id="497" w:name="Tc_XhX7TZBiEEOsgX17dGZgjw_3_16"/>
      <w:bookmarkStart w:id="498" w:name="Tc_RVYMrDGEX0aegPbqVGz0Ig_3_13"/>
      <w:bookmarkStart w:id="499" w:name="Tc_tVYMOxU7TUefRyM5ZOv5Eg_3_10"/>
      <w:bookmarkStart w:id="500" w:name="Tc_f0LR0AABfUaL_6etscBstw_3_7"/>
      <w:bookmarkStart w:id="501" w:name="Tc_be8EIUXZkUS2_2SVmhlgnQ_3_2"/>
      <w:bookmarkStart w:id="502" w:name="Tc_DcG2lRqYikK096tafrlLqg_2_21"/>
      <w:bookmarkStart w:id="503" w:name="Tc_UDmGyY8RGUqbtrooDJvOnw_2_13"/>
      <w:bookmarkStart w:id="504" w:name="_f30de4c4_50e8_4b76_95e7_5cf508d24da9"/>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tbl>
      <w:tblPr>
        <w:tblW w:w="11876" w:type="dxa"/>
        <w:jc w:val="left"/>
        <w:tblInd w:w="0" w:type="dxa"/>
        <w:tblCellMar>
          <w:top w:w="0" w:type="dxa"/>
          <w:left w:w="0" w:type="dxa"/>
          <w:bottom w:w="0" w:type="dxa"/>
          <w:right w:w="0" w:type="dxa"/>
        </w:tblCellMar>
      </w:tblPr>
      <w:tblGrid>
        <w:gridCol w:w="1321"/>
        <w:gridCol w:w="326"/>
        <w:gridCol w:w="826"/>
        <w:gridCol w:w="326"/>
        <w:gridCol w:w="196"/>
        <w:gridCol w:w="511"/>
        <w:gridCol w:w="326"/>
        <w:gridCol w:w="233"/>
        <w:gridCol w:w="983"/>
        <w:gridCol w:w="326"/>
        <w:gridCol w:w="196"/>
        <w:gridCol w:w="826"/>
        <w:gridCol w:w="326"/>
        <w:gridCol w:w="349"/>
        <w:gridCol w:w="867"/>
        <w:gridCol w:w="326"/>
        <w:gridCol w:w="751"/>
        <w:gridCol w:w="326"/>
        <w:gridCol w:w="196"/>
        <w:gridCol w:w="886"/>
        <w:gridCol w:w="326"/>
        <w:gridCol w:w="196"/>
        <w:gridCol w:w="931"/>
      </w:tblGrid>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24510" cy="175260"/>
                      <wp:effectExtent l="0" t="0" r="0" b="0"/>
                      <wp:wrapNone/>
                      <wp:docPr id="49" name="Frame49"/>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51" name="Frame51"/>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324485" cy="175260"/>
                      <wp:effectExtent l="0" t="0" r="0" b="0"/>
                      <wp:wrapNone/>
                      <wp:docPr id="52" name="Frame52"/>
                      <a:graphic xmlns:a="http://schemas.openxmlformats.org/drawingml/2006/main">
                        <a:graphicData uri="http://schemas.microsoft.com/office/word/2010/wordprocessingShape">
                          <wps:wsp>
                            <wps:cNvSpPr txBox="1"/>
                            <wps:spPr>
                              <a:xfrm>
                                <a:off x="0" y="0"/>
                                <a:ext cx="3244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07010" cy="175260"/>
                      <wp:effectExtent l="0" t="0" r="0" b="0"/>
                      <wp:wrapNone/>
                      <wp:docPr id="53" name="Frame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47955" cy="175260"/>
                      <wp:effectExtent l="0" t="0" r="0" b="0"/>
                      <wp:wrapNone/>
                      <wp:docPr id="54" name="Frame54"/>
                      <a:graphic xmlns:a="http://schemas.openxmlformats.org/drawingml/2006/main">
                        <a:graphicData uri="http://schemas.microsoft.com/office/word/2010/wordprocessingShape">
                          <wps:wsp>
                            <wps:cNvSpPr txBox="1"/>
                            <wps:spPr>
                              <a:xfrm>
                                <a:off x="0" y="0"/>
                                <a:ext cx="1479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24205" cy="175260"/>
                      <wp:effectExtent l="0" t="0" r="0" b="0"/>
                      <wp:wrapNone/>
                      <wp:docPr id="55" name="Frame55"/>
                      <a:graphic xmlns:a="http://schemas.openxmlformats.org/drawingml/2006/main">
                        <a:graphicData uri="http://schemas.microsoft.com/office/word/2010/wordprocessingShape">
                          <wps:wsp>
                            <wps:cNvSpPr txBox="1"/>
                            <wps:spPr>
                              <a:xfrm>
                                <a:off x="0" y="0"/>
                                <a:ext cx="6242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07010" cy="175260"/>
                      <wp:effectExtent l="0" t="0" r="0" b="0"/>
                      <wp:wrapNone/>
                      <wp:docPr id="56" name="Frame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24460" cy="175260"/>
                      <wp:effectExtent l="0" t="0" r="0" b="0"/>
                      <wp:wrapNone/>
                      <wp:docPr id="57" name="Frame57"/>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24510" cy="175260"/>
                      <wp:effectExtent l="0" t="0" r="0" b="0"/>
                      <wp:wrapNone/>
                      <wp:docPr id="58" name="Frame58"/>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9" name="Frame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21615" cy="175260"/>
                      <wp:effectExtent l="0" t="0" r="0" b="0"/>
                      <wp:wrapNone/>
                      <wp:docPr id="60" name="Frame60"/>
                      <a:graphic xmlns:a="http://schemas.openxmlformats.org/drawingml/2006/main">
                        <a:graphicData uri="http://schemas.microsoft.com/office/word/2010/wordprocessingShape">
                          <wps:wsp>
                            <wps:cNvSpPr txBox="1"/>
                            <wps:spPr>
                              <a:xfrm>
                                <a:off x="0" y="0"/>
                                <a:ext cx="2216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50545" cy="175260"/>
                      <wp:effectExtent l="0" t="0" r="0" b="0"/>
                      <wp:wrapNone/>
                      <wp:docPr id="61" name="Frame61"/>
                      <a:graphic xmlns:a="http://schemas.openxmlformats.org/drawingml/2006/main">
                        <a:graphicData uri="http://schemas.microsoft.com/office/word/2010/wordprocessingShape">
                          <wps:wsp>
                            <wps:cNvSpPr txBox="1"/>
                            <wps:spPr>
                              <a:xfrm>
                                <a:off x="0" y="0"/>
                                <a:ext cx="550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07010" cy="175260"/>
                      <wp:effectExtent l="0" t="0" r="0" b="0"/>
                      <wp:wrapNone/>
                      <wp:docPr id="62" name="Frame6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76885" cy="175260"/>
                      <wp:effectExtent l="0" t="0" r="0" b="0"/>
                      <wp:wrapNone/>
                      <wp:docPr id="63" name="Frame63"/>
                      <a:graphic xmlns:a="http://schemas.openxmlformats.org/drawingml/2006/main">
                        <a:graphicData uri="http://schemas.microsoft.com/office/word/2010/wordprocessingShape">
                          <wps:wsp>
                            <wps:cNvSpPr txBox="1"/>
                            <wps:spPr>
                              <a:xfrm>
                                <a:off x="0" y="0"/>
                                <a:ext cx="4768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24460" cy="175260"/>
                      <wp:effectExtent l="0" t="0" r="0" b="0"/>
                      <wp:wrapNone/>
                      <wp:docPr id="65" name="Frame65"/>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62610" cy="175260"/>
                      <wp:effectExtent l="0" t="0" r="0" b="0"/>
                      <wp:wrapNone/>
                      <wp:docPr id="66" name="Frame66"/>
                      <a:graphic xmlns:a="http://schemas.openxmlformats.org/drawingml/2006/main">
                        <a:graphicData uri="http://schemas.microsoft.com/office/word/2010/wordprocessingShape">
                          <wps:wsp>
                            <wps:cNvSpPr txBox="1"/>
                            <wps:spPr>
                              <a:xfrm>
                                <a:off x="0" y="0"/>
                                <a:ext cx="562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4460" cy="175260"/>
                      <wp:effectExtent l="0" t="0" r="0" b="0"/>
                      <wp:wrapNone/>
                      <wp:docPr id="68" name="Frame68"/>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9" name="Frame6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Other</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1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022"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0"/>
              <w:ind w:left="0" w:right="0" w:hanging="0"/>
              <w:rPr/>
            </w:pPr>
            <w:r>
              <w:rPr/>
              <w:t>​</w:t>
            </w:r>
          </w:p>
        </w:tc>
        <w:tc>
          <w:tcPr>
            <w:tcW w:w="121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shd w:fill="auto" w:val="clear"/>
            <w:vAlign w:val="center"/>
          </w:tcPr>
          <w:p>
            <w:pPr>
              <w:pStyle w:val="TableContents"/>
              <w:spacing w:before="0" w:after="0"/>
              <w:ind w:left="0" w:right="0" w:hanging="0"/>
              <w:rPr/>
            </w:pPr>
            <w:r>
              <w:rPr/>
              <w:t>​</w:t>
            </w:r>
          </w:p>
        </w:tc>
        <w:tc>
          <w:tcPr>
            <w:tcW w:w="2159"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stock</w:t>
            </w:r>
          </w:p>
        </w:tc>
        <w:tc>
          <w:tcPr>
            <w:tcW w:w="326" w:type="dxa"/>
            <w:tcBorders/>
            <w:shd w:fill="auto" w:val="clear"/>
            <w:vAlign w:val="center"/>
          </w:tcPr>
          <w:p>
            <w:pPr>
              <w:pStyle w:val="TableContents"/>
              <w:spacing w:before="0" w:after="0"/>
              <w:ind w:left="0" w:right="0" w:hanging="0"/>
              <w:rPr/>
            </w:pPr>
            <w:r>
              <w:rPr/>
              <w:t>​</w:t>
            </w:r>
          </w:p>
        </w:tc>
        <w:tc>
          <w:tcPr>
            <w:tcW w:w="112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3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7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rPr/>
            </w:pPr>
            <w:r>
              <w:rPr/>
              <w:t>    </w:t>
            </w:r>
          </w:p>
        </w:tc>
        <w:tc>
          <w:tcPr>
            <w:tcW w:w="121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(Loss) Income</w:t>
            </w:r>
          </w:p>
        </w:tc>
        <w:tc>
          <w:tcPr>
            <w:tcW w:w="326" w:type="dxa"/>
            <w:tcBorders/>
            <w:shd w:fill="auto" w:val="clear"/>
            <w:vAlign w:val="center"/>
          </w:tcPr>
          <w:p>
            <w:pPr>
              <w:pStyle w:val="TableContents"/>
              <w:spacing w:before="0" w:after="0"/>
              <w:ind w:left="0" w:right="0" w:hanging="0"/>
              <w:rPr/>
            </w:pPr>
            <w:r>
              <w:rPr/>
              <w:t>    </w:t>
            </w:r>
          </w:p>
        </w:tc>
        <w:tc>
          <w:tcPr>
            <w:tcW w:w="75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108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112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December 31, 2021</w:t>
            </w:r>
          </w:p>
        </w:tc>
        <w:tc>
          <w:tcPr>
            <w:tcW w:w="32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1,280,086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6,400</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4,649,420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7,809,549</w:t>
            </w:r>
          </w:p>
        </w:tc>
        <w:tc>
          <w:tcPr>
            <w:tcW w:w="326" w:type="dxa"/>
            <w:tcBorders/>
            <w:shd w:fill="CCEEFF" w:val="clear"/>
            <w:vAlign w:val="center"/>
          </w:tcPr>
          <w:p>
            <w:pPr>
              <w:pStyle w:val="TableContents"/>
              <w:spacing w:before="0" w:after="0"/>
              <w:ind w:left="0" w:right="0" w:hanging="0"/>
              <w:rPr/>
            </w:pPr>
            <w:r>
              <w:rPr/>
              <w:t>​</w:t>
            </w:r>
          </w:p>
        </w:tc>
        <w:tc>
          <w:tcPr>
            <w:tcW w:w="3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(69,165)</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(221,440)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(5,829,253)</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6,566,951</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Stock-based compensation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w:t>
            </w:r>
          </w:p>
        </w:tc>
        <w:tc>
          <w:tcPr>
            <w:tcW w:w="86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16,175</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Stock options/awards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970</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4,504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49" w:type="dxa"/>
            <w:tcBorders/>
            <w:shd w:fill="CCEEFF" w:val="clear"/>
            <w:vAlign w:val="center"/>
          </w:tcPr>
          <w:p>
            <w:pPr>
              <w:pStyle w:val="TableContents"/>
              <w:spacing w:before="0" w:after="0"/>
              <w:ind w:left="0" w:right="0" w:hanging="0"/>
              <w:rPr/>
            </w:pPr>
            <w:r>
              <w:rPr/>
              <w:t>​</w:t>
            </w:r>
          </w:p>
        </w:tc>
        <w:tc>
          <w:tcPr>
            <w:tcW w:w="86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4,510</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Unrealized gain (loss), net on available-for-sale securities</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 </w:t>
            </w:r>
          </w:p>
        </w:tc>
        <w:tc>
          <w:tcPr>
            <w:tcW w:w="9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 </w:t>
            </w:r>
          </w:p>
        </w:tc>
        <w:tc>
          <w:tcPr>
            <w:tcW w:w="86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c>
          <w:tcPr>
            <w:tcW w:w="326" w:type="dxa"/>
            <w:tcBorders/>
            <w:shd w:fill="auto" w:val="clear"/>
            <w:vAlign w:val="center"/>
          </w:tcPr>
          <w:p>
            <w:pPr>
              <w:pStyle w:val="TableContents"/>
              <w:spacing w:before="0" w:after="0"/>
              <w:ind w:left="0" w:right="0" w:hanging="0"/>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(4,059)</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Repurchase of common stock </w:t>
            </w:r>
          </w:p>
        </w:tc>
        <w:tc>
          <w:tcPr>
            <w:tcW w:w="326" w:type="dxa"/>
            <w:tcBorders/>
            <w:shd w:fill="CCEEFF" w:val="clear"/>
            <w:vAlign w:val="center"/>
          </w:tcPr>
          <w:p>
            <w:pPr>
              <w:pStyle w:val="TableContents"/>
              <w:spacing w:before="0" w:after="0"/>
              <w:ind w:left="0" w:right="0" w:hanging="0"/>
              <w:rPr/>
            </w:pPr>
            <w:r>
              <w:rPr/>
              <w:t> </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51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shd w:fill="CCEEFF" w:val="clear"/>
            <w:vAlign w:val="center"/>
          </w:tcPr>
          <w:p>
            <w:pPr>
              <w:pStyle w:val="TableContents"/>
              <w:spacing w:before="0" w:after="0"/>
              <w:ind w:left="0" w:right="0" w:hanging="0"/>
              <w:rPr/>
            </w:pPr>
            <w:r>
              <w:rPr/>
              <w:t>​</w:t>
            </w:r>
          </w:p>
        </w:tc>
        <w:tc>
          <w:tcPr>
            <w:tcW w:w="98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49" w:type="dxa"/>
            <w:tcBorders/>
            <w:shd w:fill="CCEEFF" w:val="clear"/>
            <w:vAlign w:val="center"/>
          </w:tcPr>
          <w:p>
            <w:pPr>
              <w:pStyle w:val="TableContents"/>
              <w:spacing w:before="0" w:after="0"/>
              <w:ind w:left="0" w:right="0" w:hanging="0"/>
              <w:rPr/>
            </w:pPr>
            <w:r>
              <w:rPr/>
              <w:t>​</w:t>
            </w:r>
          </w:p>
        </w:tc>
        <w:tc>
          <w:tcPr>
            <w:tcW w:w="86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5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(332)</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(12,187)</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Foreign currency translation </w:t>
            </w:r>
          </w:p>
        </w:tc>
        <w:tc>
          <w:tcPr>
            <w:tcW w:w="326" w:type="dxa"/>
            <w:tcBorders/>
            <w:shd w:fill="auto" w:val="clear"/>
            <w:vAlign w:val="center"/>
          </w:tcPr>
          <w:p>
            <w:pPr>
              <w:pStyle w:val="TableContents"/>
              <w:spacing w:before="0" w:after="0"/>
              <w:ind w:left="0" w:right="0" w:hanging="0"/>
              <w:rPr/>
            </w:pPr>
            <w:r>
              <w:rPr/>
              <w:t> </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51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3" w:type="dxa"/>
            <w:tcBorders/>
            <w:shd w:fill="auto" w:val="clear"/>
            <w:vAlign w:val="center"/>
          </w:tcPr>
          <w:p>
            <w:pPr>
              <w:pStyle w:val="TableContents"/>
              <w:spacing w:before="0" w:after="0"/>
              <w:ind w:left="0" w:right="0" w:hanging="0"/>
              <w:rPr/>
            </w:pPr>
            <w:r>
              <w:rPr/>
              <w:t>​</w:t>
            </w:r>
          </w:p>
        </w:tc>
        <w:tc>
          <w:tcPr>
            <w:tcW w:w="98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49" w:type="dxa"/>
            <w:tcBorders/>
            <w:shd w:fill="auto" w:val="clear"/>
            <w:vAlign w:val="center"/>
          </w:tcPr>
          <w:p>
            <w:pPr>
              <w:pStyle w:val="TableContents"/>
              <w:spacing w:before="0" w:after="0"/>
              <w:ind w:left="0" w:right="0" w:hanging="0"/>
              <w:rPr/>
            </w:pPr>
            <w:r>
              <w:rPr/>
              <w:t>​</w:t>
            </w:r>
          </w:p>
        </w:tc>
        <w:tc>
          <w:tcPr>
            <w:tcW w:w="86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c>
          <w:tcPr>
            <w:tcW w:w="326" w:type="dxa"/>
            <w:tcBorders/>
            <w:shd w:fill="auto" w:val="clear"/>
            <w:vAlign w:val="center"/>
          </w:tcPr>
          <w:p>
            <w:pPr>
              <w:pStyle w:val="TableContents"/>
              <w:spacing w:before="0" w:after="0"/>
              <w:ind w:left="0" w:right="0" w:hanging="0"/>
              <w:rPr/>
            </w:pPr>
            <w:r>
              <w:rPr/>
              <w:t>​</w:t>
            </w:r>
          </w:p>
        </w:tc>
        <w:tc>
          <w:tcPr>
            <w:tcW w:w="75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1,079</w:t>
            </w:r>
          </w:p>
        </w:tc>
      </w:tr>
      <w:tr>
        <w:trPr/>
        <w:tc>
          <w:tcPr>
            <w:tcW w:w="1321" w:type="dxa"/>
            <w:tcBorders/>
            <w:shd w:fill="CCEEFF" w:val="clear"/>
            <w:vAlign w:val="center"/>
          </w:tcPr>
          <w:p>
            <w:pPr>
              <w:pStyle w:val="TableContents"/>
              <w:pBdr/>
              <w:spacing w:before="0" w:after="0"/>
              <w:ind w:left="0" w:right="0" w:hanging="0"/>
              <w:rPr>
                <w:rFonts w:ascii="Times New Roman;Times;serif" w:hAnsi="Times New Roman;Times;serif"/>
                <w:sz w:val="16"/>
              </w:rPr>
            </w:pPr>
            <w:r>
              <w:rPr>
                <w:rFonts w:ascii="Times New Roman;Times;serif" w:hAnsi="Times New Roman;Times;serif"/>
                <w:sz w:val="16"/>
              </w:rPr>
              <w:t xml:space="preserve">Net income </w:t>
            </w:r>
          </w:p>
        </w:tc>
        <w:tc>
          <w:tcPr>
            <w:tcW w:w="326" w:type="dxa"/>
            <w:tcBorders/>
            <w:shd w:fill="CCEEFF" w:val="clear"/>
            <w:vAlign w:val="center"/>
          </w:tcPr>
          <w:p>
            <w:pPr>
              <w:pStyle w:val="TableContents"/>
              <w:spacing w:before="0" w:after="0"/>
              <w:ind w:left="0" w:right="0" w:hanging="0"/>
              <w:rPr/>
            </w:pPr>
            <w:r>
              <w:rPr/>
              <w:t> </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51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83"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c>
          <w:tcPr>
            <w:tcW w:w="326" w:type="dxa"/>
            <w:tcBorders/>
            <w:shd w:fill="CCEEFF" w:val="clear"/>
            <w:vAlign w:val="center"/>
          </w:tcPr>
          <w:p>
            <w:pPr>
              <w:pStyle w:val="TableContents"/>
              <w:spacing w:before="0" w:after="0"/>
              <w:ind w:left="0" w:right="0" w:hanging="0"/>
              <w:rPr/>
            </w:pPr>
            <w:r>
              <w:rPr/>
              <w:t>​</w:t>
            </w:r>
          </w:p>
        </w:tc>
        <w:tc>
          <w:tcPr>
            <w:tcW w:w="349"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67"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75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294,203</w:t>
            </w:r>
          </w:p>
        </w:tc>
      </w:tr>
      <w:tr>
        <w:trPr/>
        <w:tc>
          <w:tcPr>
            <w:tcW w:w="1321" w:type="dxa"/>
            <w:tcBorders/>
            <w:shd w:fill="auto" w:val="clear"/>
            <w:vAlign w:val="center"/>
          </w:tcPr>
          <w:p>
            <w:pPr>
              <w:pStyle w:val="TableContents"/>
              <w:pBdr/>
              <w:spacing w:before="0" w:after="0"/>
              <w:ind w:left="0" w:right="0" w:hanging="0"/>
              <w:rPr>
                <w:rFonts w:ascii="Times New Roman;Times;serif" w:hAnsi="Times New Roman;Times;serif"/>
                <w:b/>
                <w:sz w:val="16"/>
              </w:rPr>
            </w:pPr>
            <w:r>
              <w:rPr>
                <w:rFonts w:ascii="Times New Roman;Times;serif" w:hAnsi="Times New Roman;Times;serif"/>
                <w:b/>
                <w:sz w:val="16"/>
              </w:rPr>
              <w:t>Balance, March 31, 2022</w:t>
            </w:r>
          </w:p>
        </w:tc>
        <w:tc>
          <w:tcPr>
            <w:tcW w:w="326" w:type="dxa"/>
            <w:tcBorders/>
            <w:shd w:fill="auto" w:val="clear"/>
            <w:vAlign w:val="center"/>
          </w:tcPr>
          <w:p>
            <w:pPr>
              <w:pStyle w:val="TableContents"/>
              <w:spacing w:before="0" w:after="0"/>
              <w:ind w:left="0" w:right="0" w:hanging="0"/>
              <w:rPr/>
            </w:pPr>
            <w:r>
              <w:rPr/>
              <w:t> </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1,281,056</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51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6,406</w:t>
            </w:r>
          </w:p>
        </w:tc>
        <w:tc>
          <w:tcPr>
            <w:tcW w:w="326" w:type="dxa"/>
            <w:tcBorders/>
            <w:shd w:fill="auto" w:val="clear"/>
            <w:vAlign w:val="center"/>
          </w:tcPr>
          <w:p>
            <w:pPr>
              <w:pStyle w:val="TableContents"/>
              <w:spacing w:before="0" w:after="0"/>
              <w:ind w:left="0" w:right="0" w:hanging="0"/>
              <w:rPr/>
            </w:pPr>
            <w:r>
              <w:rPr/>
              <w:t> </w:t>
            </w:r>
          </w:p>
        </w:tc>
        <w:tc>
          <w:tcPr>
            <w:tcW w:w="23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83"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4,670,099</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8,103,752</w:t>
            </w:r>
          </w:p>
        </w:tc>
        <w:tc>
          <w:tcPr>
            <w:tcW w:w="326" w:type="dxa"/>
            <w:tcBorders/>
            <w:shd w:fill="auto" w:val="clear"/>
            <w:vAlign w:val="center"/>
          </w:tcPr>
          <w:p>
            <w:pPr>
              <w:pStyle w:val="TableContents"/>
              <w:spacing w:before="0" w:after="0"/>
              <w:ind w:left="0" w:right="0" w:hanging="0"/>
              <w:rPr/>
            </w:pPr>
            <w:r>
              <w:rPr/>
              <w:t> </w:t>
            </w:r>
          </w:p>
        </w:tc>
        <w:tc>
          <w:tcPr>
            <w:tcW w:w="3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6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(72,145)</w:t>
            </w:r>
          </w:p>
        </w:tc>
        <w:tc>
          <w:tcPr>
            <w:tcW w:w="326" w:type="dxa"/>
            <w:tcBorders/>
            <w:shd w:fill="auto" w:val="clear"/>
            <w:vAlign w:val="center"/>
          </w:tcPr>
          <w:p>
            <w:pPr>
              <w:pStyle w:val="TableContents"/>
              <w:spacing w:before="0" w:after="0"/>
              <w:ind w:left="0" w:right="0" w:hanging="0"/>
              <w:rPr/>
            </w:pPr>
            <w:r>
              <w:rPr/>
              <w:t>​</w:t>
            </w:r>
          </w:p>
        </w:tc>
        <w:tc>
          <w:tcPr>
            <w:tcW w:w="75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(221,772)</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(5,841,440)</w:t>
            </w:r>
          </w:p>
        </w:tc>
        <w:tc>
          <w:tcPr>
            <w:tcW w:w="326" w:type="dxa"/>
            <w:tcBorders/>
            <w:shd w:fill="auto" w:val="clear"/>
            <w:vAlign w:val="center"/>
          </w:tcPr>
          <w:p>
            <w:pPr>
              <w:pStyle w:val="TableContents"/>
              <w:spacing w:before="0" w:after="0"/>
              <w:ind w:left="0" w:right="0" w:hanging="0"/>
              <w:rPr/>
            </w:pPr>
            <w:r>
              <w:rPr/>
              <w:t> </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6,866,672</w:t>
            </w:r>
          </w:p>
        </w:tc>
      </w:tr>
    </w:tbl>
    <w:p>
      <w:pPr>
        <w:pStyle w:val="TextBody"/>
        <w:spacing w:before="0" w:after="0"/>
        <w:ind w:left="0" w:right="0" w:hanging="0"/>
        <w:rPr/>
      </w:pPr>
      <w:r>
        <w:rPr/>
        <w:t>​</w:t>
      </w:r>
    </w:p>
    <w:p>
      <w:pPr>
        <w:pStyle w:val="TextBody"/>
        <w:spacing w:before="0" w:after="0"/>
        <w:ind w:left="0" w:right="0" w:hanging="0"/>
        <w:rPr>
          <w:rFonts w:ascii="Times New Roman;Times;serif" w:hAnsi="Times New Roman;Times;serif"/>
          <w:i/>
          <w:sz w:val="18"/>
        </w:rPr>
      </w:pPr>
      <w:r>
        <w:rPr>
          <w:rFonts w:ascii="Times New Roman;Times;serif" w:hAnsi="Times New Roman;Times;serif"/>
          <w:i/>
          <w:sz w:val="18"/>
        </w:rPr>
        <w:t>¹ Stock Split - The accompanying condensed consolidated financial statements and notes thereto have been retroactively updated to reflect the Stock Split. See Note 1 for additional information.</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0"/>
        </w:rPr>
      </w:pPr>
      <w:bookmarkStart w:id="505" w:name="_40b2c2f2_bdd5_4f68_aecd_e18703a54ea2"/>
      <w:bookmarkEnd w:id="505"/>
      <w:r>
        <w:rPr>
          <w:rFonts w:ascii="Times New Roman;Times;serif" w:hAnsi="Times New Roman;Times;serif"/>
          <w:b/>
          <w:sz w:val="20"/>
        </w:rPr>
        <w:t>MONSTER BEVERAGE CORPORATION AND SUBSIDIARIES</w:t>
      </w:r>
    </w:p>
    <w:p>
      <w:pPr>
        <w:pStyle w:val="TextBody"/>
        <w:spacing w:lineRule="atLeast" w:line="220" w:before="0" w:after="0"/>
        <w:ind w:left="0" w:right="0" w:hanging="0"/>
        <w:rPr>
          <w:rFonts w:ascii="Times New Roman;Times;serif" w:hAnsi="Times New Roman;Times;serif"/>
          <w:b/>
          <w:sz w:val="20"/>
        </w:rPr>
      </w:pPr>
      <w:bookmarkStart w:id="506" w:name="STATEMENTSOFCASHFLOWS_392736"/>
      <w:bookmarkEnd w:id="506"/>
      <w:r>
        <w:rPr>
          <w:rFonts w:ascii="Times New Roman;Times;serif" w:hAnsi="Times New Roman;Times;serif"/>
          <w:b/>
          <w:sz w:val="20"/>
        </w:rPr>
        <w:t>CONDENSED CONSOLIDATED STATEMENTS OF CASH FLOWS</w:t>
      </w:r>
    </w:p>
    <w:p>
      <w:pPr>
        <w:pStyle w:val="TextBody"/>
        <w:spacing w:lineRule="atLeast" w:line="220" w:before="0" w:after="0"/>
        <w:ind w:left="0" w:right="0" w:hanging="0"/>
        <w:rPr>
          <w:rFonts w:ascii="Times New Roman;Times;serif" w:hAnsi="Times New Roman;Times;serif"/>
          <w:b/>
          <w:sz w:val="20"/>
        </w:rPr>
      </w:pPr>
      <w:r>
        <w:rPr>
          <w:rFonts w:ascii="Times New Roman;Times;serif" w:hAnsi="Times New Roman;Times;serif"/>
          <w:b/>
          <w:sz w:val="20"/>
        </w:rPr>
        <w:t>FOR THE THREE-MONTHS ENDED MARCH 31, 2023 AND 2022</w:t>
      </w:r>
    </w:p>
    <w:p>
      <w:pPr>
        <w:pStyle w:val="TextBody"/>
        <w:pBdr>
          <w:bottom w:val="single" w:sz="12" w:space="1" w:color="000000"/>
        </w:pBdr>
        <w:spacing w:lineRule="atLeast" w:line="220" w:before="0" w:after="0"/>
        <w:ind w:left="0" w:right="0" w:hanging="0"/>
        <w:rPr>
          <w:rFonts w:ascii="Times New Roman;Times;serif" w:hAnsi="Times New Roman;Times;serif"/>
          <w:b/>
          <w:sz w:val="20"/>
        </w:rPr>
      </w:pPr>
      <w:r>
        <w:rPr>
          <w:rFonts w:ascii="Times New Roman;Times;serif" w:hAnsi="Times New Roman;Times;serif"/>
          <w:b/>
          <w:sz w:val="20"/>
        </w:rPr>
        <w:t xml:space="preserve">(In Thousands) (Unaudited) </w:t>
      </w:r>
    </w:p>
    <w:p>
      <w:pPr>
        <w:pStyle w:val="TextBody"/>
        <w:spacing w:before="0" w:after="0"/>
        <w:ind w:left="0" w:right="0" w:hanging="0"/>
        <w:rPr/>
      </w:pPr>
      <w:r>
        <w:rPr/>
        <w:t>​</w:t>
      </w:r>
    </w:p>
    <w:p>
      <w:pPr>
        <w:pStyle w:val="Normal"/>
        <w:spacing w:before="0" w:after="0"/>
        <w:rPr>
          <w:sz w:val="4"/>
          <w:szCs w:val="4"/>
        </w:rPr>
      </w:pPr>
      <w:r>
        <w:rPr>
          <w:sz w:val="4"/>
          <w:szCs w:val="4"/>
        </w:rPr>
      </w:r>
      <w:bookmarkStart w:id="507" w:name="Tc_5mBt2KsI2k-8rTjEHR3wMw_50_5"/>
      <w:bookmarkStart w:id="508" w:name="Tc_JPhR11En3Ua8n_l-4UUI1g_50_2"/>
      <w:bookmarkStart w:id="509" w:name="Tc_03VRamNKHkmErKqL_7_PIw_50_0"/>
      <w:bookmarkStart w:id="510" w:name="Tc_-TEKCo04PE6H3CF9AjmtPg_49_5"/>
      <w:bookmarkStart w:id="511" w:name="Tc_6_w2SyJlVkObQzXwNZ191Q_49_2"/>
      <w:bookmarkStart w:id="512" w:name="Tc_Z3bOYyPXXEmzI5vzpeIjLg_49_0"/>
      <w:bookmarkStart w:id="513" w:name="Tc_AmLJpTB-VECimmV2zMaNwg_48_0"/>
      <w:bookmarkStart w:id="514" w:name="Tc_1p1M5njpn0eLEJUg6O38Sg_47_0"/>
      <w:bookmarkStart w:id="515" w:name="Tc_xOLyraGVCEqtyEKv6saisg_45_5"/>
      <w:bookmarkStart w:id="516" w:name="Tc_L0LLW8Oh1k6RLSalCH62ig_45_2"/>
      <w:bookmarkStart w:id="517" w:name="Tc_Md8gbUZ4oUy_GHrT9Qju8Q_45_0"/>
      <w:bookmarkStart w:id="518" w:name="Tc_iGobsEhqNECJaQDzeC_fEg_44_0"/>
      <w:bookmarkStart w:id="519" w:name="Tc_q1kgqJ1mDUG0hTIU2KeD3g_43_0"/>
      <w:bookmarkStart w:id="520" w:name="Tc_KY71ZX2TckSxFFXosCoVRQ_41_0"/>
      <w:bookmarkStart w:id="521" w:name="Tc_9Z_odDK_dE-5QUXsQ9dmJQ_39_0"/>
      <w:bookmarkStart w:id="522" w:name="Tc_QgRDoUVIoE-pMUE3gTTawQ_38_0"/>
      <w:bookmarkStart w:id="523" w:name="Tc_fUfyA1K2WkSFpS_yH_4lCA_37_0"/>
      <w:bookmarkStart w:id="524" w:name="Tc_ulBBZFNtJE2ZDWgbCsKlWA_36_0"/>
      <w:bookmarkStart w:id="525" w:name="Tc_5PilC26fUk-TH3kSFpYCNA_35_0"/>
      <w:bookmarkStart w:id="526" w:name="Tc_W7adlp2bWUu5ija35iUUIw_33_0"/>
      <w:bookmarkStart w:id="527" w:name="Tc_8cGArmjl00W2mKMQ3laaCg_32_0"/>
      <w:bookmarkStart w:id="528" w:name="Tc_336fm-AcUUy4NezRnrPrHg_31_0"/>
      <w:bookmarkStart w:id="529" w:name="Tc_aHhnixsC7EiWXBzU0bDa1w_30_0"/>
      <w:bookmarkStart w:id="530" w:name="Tc_lDOm78hkP0urnhQocS2Fgw_29_0"/>
      <w:bookmarkStart w:id="531" w:name="Tc_ziT7P55P1kGOkguvFAWxGQ_28_0"/>
      <w:bookmarkStart w:id="532" w:name="Tc_2uiAXp7HM0yI7vgEWECiGg_27_0"/>
      <w:bookmarkStart w:id="533" w:name="Tc_4Tfx4OY-gkOmVBSopXel3Q_26_0"/>
      <w:bookmarkStart w:id="534" w:name="Tc_3nQcwCwamkKfHbwwtDoZsQ_25_0"/>
      <w:bookmarkStart w:id="535" w:name="Tc_u_8t7QV8y0OhDAR6rhhqWw_23_0"/>
      <w:bookmarkStart w:id="536" w:name="Tc_1wYK95pFY0qaN3TA9uwlzw_22_0"/>
      <w:bookmarkStart w:id="537" w:name="Tc_Xp6pinAnaUiyuYKvWeQSOQ_21_0"/>
      <w:bookmarkStart w:id="538" w:name="Tc_E4fw9ZNMeUOiXExzU28goA_20_0"/>
      <w:bookmarkStart w:id="539" w:name="Tc_xlI2JT4E4ESUOOHd0KVkHA_19_0"/>
      <w:bookmarkStart w:id="540" w:name="Tc_ykSZrWTLO0aQxuyIK7wf9w_18_0"/>
      <w:bookmarkStart w:id="541" w:name="Tc_qTwEIyW5MECJMAk69a_eQA_17_0"/>
      <w:bookmarkStart w:id="542" w:name="Tc_hXNbWwf0GUWPbiUAArJHiA_16_0"/>
      <w:bookmarkStart w:id="543" w:name="Tc_OWT1EvQgo0SNyFyHLABcFg_15_0"/>
      <w:bookmarkStart w:id="544" w:name="Tc_iizYbsKOI0aA05qqfNcpkQ_14_0"/>
      <w:bookmarkStart w:id="545" w:name="Tc_CsF9V1QANkSC61EBwY66ng_13_0"/>
      <w:bookmarkStart w:id="546" w:name="Tc_lgIqZWFkOEKY9yy09c_bzQ_12_0"/>
      <w:bookmarkStart w:id="547" w:name="Tc_bon3ucyHzUGgF5misJWs1Q_11_0"/>
      <w:bookmarkStart w:id="548" w:name="Tc_DCNM-HOd0UaSgwpm19xc0Q_10_0"/>
      <w:bookmarkStart w:id="549" w:name="Tc_bXj5DZolq0G-itDM6EXuwg_9_0"/>
      <w:bookmarkStart w:id="550" w:name="Tc_nz5ozULlNEu_bOVOLjBBJA_8_0"/>
      <w:bookmarkStart w:id="551" w:name="Tc_ouyQIAPy_E-DourPmU4S6w_7_0"/>
      <w:bookmarkStart w:id="552" w:name="Tc_FxVJZbZJd0OEv7qdJwFmUQ_6_0"/>
      <w:bookmarkStart w:id="553" w:name="Tc_K_WBNT2vUEW-NgjV_XldEQ_5_5"/>
      <w:bookmarkStart w:id="554" w:name="Tc_e2TekucTyUyo8WCNs4TMhQ_5_2"/>
      <w:bookmarkStart w:id="555" w:name="Tc_0TlsInqjqUuoqg--RmB7Lw_5_0"/>
      <w:bookmarkStart w:id="556" w:name="Tc_xKC1uxlbiEGEIpnSGNHXtw_4_0"/>
      <w:bookmarkStart w:id="557" w:name="Tc_vXNfLROnHEectS5cPjWuqw_3_5"/>
      <w:bookmarkStart w:id="558" w:name="Tc_srnKO-9iFUmngZr4BR6jxg_3_2"/>
      <w:bookmarkStart w:id="559" w:name="Tc_cFajUu51c0uHhkWqO4DbrA_2_2"/>
      <w:bookmarkStart w:id="560" w:name="Tc__TYEn-Pbeke4Empp2-igTg_1_2"/>
      <w:bookmarkStart w:id="561" w:name="_71a6b9e4_4df5_4f37_9a92_3ee23909c94c"/>
      <w:bookmarkStart w:id="562" w:name="Tc_5mBt2KsI2k-8rTjEHR3wMw_50_5"/>
      <w:bookmarkStart w:id="563" w:name="Tc_JPhR11En3Ua8n_l-4UUI1g_50_2"/>
      <w:bookmarkStart w:id="564" w:name="Tc_03VRamNKHkmErKqL_7_PIw_50_0"/>
      <w:bookmarkStart w:id="565" w:name="Tc_-TEKCo04PE6H3CF9AjmtPg_49_5"/>
      <w:bookmarkStart w:id="566" w:name="Tc_6_w2SyJlVkObQzXwNZ191Q_49_2"/>
      <w:bookmarkStart w:id="567" w:name="Tc_Z3bOYyPXXEmzI5vzpeIjLg_49_0"/>
      <w:bookmarkStart w:id="568" w:name="Tc_AmLJpTB-VECimmV2zMaNwg_48_0"/>
      <w:bookmarkStart w:id="569" w:name="Tc_1p1M5njpn0eLEJUg6O38Sg_47_0"/>
      <w:bookmarkStart w:id="570" w:name="Tc_xOLyraGVCEqtyEKv6saisg_45_5"/>
      <w:bookmarkStart w:id="571" w:name="Tc_L0LLW8Oh1k6RLSalCH62ig_45_2"/>
      <w:bookmarkStart w:id="572" w:name="Tc_Md8gbUZ4oUy_GHrT9Qju8Q_45_0"/>
      <w:bookmarkStart w:id="573" w:name="Tc_iGobsEhqNECJaQDzeC_fEg_44_0"/>
      <w:bookmarkStart w:id="574" w:name="Tc_q1kgqJ1mDUG0hTIU2KeD3g_43_0"/>
      <w:bookmarkStart w:id="575" w:name="Tc_KY71ZX2TckSxFFXosCoVRQ_41_0"/>
      <w:bookmarkStart w:id="576" w:name="Tc_9Z_odDK_dE-5QUXsQ9dmJQ_39_0"/>
      <w:bookmarkStart w:id="577" w:name="Tc_QgRDoUVIoE-pMUE3gTTawQ_38_0"/>
      <w:bookmarkStart w:id="578" w:name="Tc_fUfyA1K2WkSFpS_yH_4lCA_37_0"/>
      <w:bookmarkStart w:id="579" w:name="Tc_ulBBZFNtJE2ZDWgbCsKlWA_36_0"/>
      <w:bookmarkStart w:id="580" w:name="Tc_5PilC26fUk-TH3kSFpYCNA_35_0"/>
      <w:bookmarkStart w:id="581" w:name="Tc_W7adlp2bWUu5ija35iUUIw_33_0"/>
      <w:bookmarkStart w:id="582" w:name="Tc_8cGArmjl00W2mKMQ3laaCg_32_0"/>
      <w:bookmarkStart w:id="583" w:name="Tc_336fm-AcUUy4NezRnrPrHg_31_0"/>
      <w:bookmarkStart w:id="584" w:name="Tc_aHhnixsC7EiWXBzU0bDa1w_30_0"/>
      <w:bookmarkStart w:id="585" w:name="Tc_lDOm78hkP0urnhQocS2Fgw_29_0"/>
      <w:bookmarkStart w:id="586" w:name="Tc_ziT7P55P1kGOkguvFAWxGQ_28_0"/>
      <w:bookmarkStart w:id="587" w:name="Tc_2uiAXp7HM0yI7vgEWECiGg_27_0"/>
      <w:bookmarkStart w:id="588" w:name="Tc_4Tfx4OY-gkOmVBSopXel3Q_26_0"/>
      <w:bookmarkStart w:id="589" w:name="Tc_3nQcwCwamkKfHbwwtDoZsQ_25_0"/>
      <w:bookmarkStart w:id="590" w:name="Tc_u_8t7QV8y0OhDAR6rhhqWw_23_0"/>
      <w:bookmarkStart w:id="591" w:name="Tc_1wYK95pFY0qaN3TA9uwlzw_22_0"/>
      <w:bookmarkStart w:id="592" w:name="Tc_Xp6pinAnaUiyuYKvWeQSOQ_21_0"/>
      <w:bookmarkStart w:id="593" w:name="Tc_E4fw9ZNMeUOiXExzU28goA_20_0"/>
      <w:bookmarkStart w:id="594" w:name="Tc_xlI2JT4E4ESUOOHd0KVkHA_19_0"/>
      <w:bookmarkStart w:id="595" w:name="Tc_ykSZrWTLO0aQxuyIK7wf9w_18_0"/>
      <w:bookmarkStart w:id="596" w:name="Tc_qTwEIyW5MECJMAk69a_eQA_17_0"/>
      <w:bookmarkStart w:id="597" w:name="Tc_hXNbWwf0GUWPbiUAArJHiA_16_0"/>
      <w:bookmarkStart w:id="598" w:name="Tc_OWT1EvQgo0SNyFyHLABcFg_15_0"/>
      <w:bookmarkStart w:id="599" w:name="Tc_iizYbsKOI0aA05qqfNcpkQ_14_0"/>
      <w:bookmarkStart w:id="600" w:name="Tc_CsF9V1QANkSC61EBwY66ng_13_0"/>
      <w:bookmarkStart w:id="601" w:name="Tc_lgIqZWFkOEKY9yy09c_bzQ_12_0"/>
      <w:bookmarkStart w:id="602" w:name="Tc_bon3ucyHzUGgF5misJWs1Q_11_0"/>
      <w:bookmarkStart w:id="603" w:name="Tc_DCNM-HOd0UaSgwpm19xc0Q_10_0"/>
      <w:bookmarkStart w:id="604" w:name="Tc_bXj5DZolq0G-itDM6EXuwg_9_0"/>
      <w:bookmarkStart w:id="605" w:name="Tc_nz5ozULlNEu_bOVOLjBBJA_8_0"/>
      <w:bookmarkStart w:id="606" w:name="Tc_ouyQIAPy_E-DourPmU4S6w_7_0"/>
      <w:bookmarkStart w:id="607" w:name="Tc_FxVJZbZJd0OEv7qdJwFmUQ_6_0"/>
      <w:bookmarkStart w:id="608" w:name="Tc_K_WBNT2vUEW-NgjV_XldEQ_5_5"/>
      <w:bookmarkStart w:id="609" w:name="Tc_e2TekucTyUyo8WCNs4TMhQ_5_2"/>
      <w:bookmarkStart w:id="610" w:name="Tc_0TlsInqjqUuoqg--RmB7Lw_5_0"/>
      <w:bookmarkStart w:id="611" w:name="Tc_xKC1uxlbiEGEIpnSGNHXtw_4_0"/>
      <w:bookmarkStart w:id="612" w:name="Tc_vXNfLROnHEectS5cPjWuqw_3_5"/>
      <w:bookmarkStart w:id="613" w:name="Tc_srnKO-9iFUmngZr4BR6jxg_3_2"/>
      <w:bookmarkStart w:id="614" w:name="Tc_cFajUu51c0uHhkWqO4DbrA_2_2"/>
      <w:bookmarkStart w:id="615" w:name="Tc__TYEn-Pbeke4Empp2-igTg_1_2"/>
      <w:bookmarkStart w:id="616" w:name="_71a6b9e4_4df5_4f37_9a92_3ee23909c94c"/>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tbl>
      <w:tblPr>
        <w:tblW w:w="9207" w:type="dxa"/>
        <w:jc w:val="left"/>
        <w:tblInd w:w="0" w:type="dxa"/>
        <w:tblCellMar>
          <w:top w:w="0" w:type="dxa"/>
          <w:left w:w="0" w:type="dxa"/>
          <w:bottom w:w="0" w:type="dxa"/>
          <w:right w:w="0" w:type="dxa"/>
        </w:tblCellMar>
      </w:tblPr>
      <w:tblGrid>
        <w:gridCol w:w="6466"/>
        <w:gridCol w:w="326"/>
        <w:gridCol w:w="196"/>
        <w:gridCol w:w="826"/>
        <w:gridCol w:w="326"/>
        <w:gridCol w:w="196"/>
        <w:gridCol w:w="871"/>
      </w:tblGrid>
      <w:tr>
        <w:trPr/>
        <w:tc>
          <w:tcPr>
            <w:tcW w:w="6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24460" cy="175260"/>
                      <wp:effectExtent l="0" t="0" r="0" b="0"/>
                      <wp:wrapNone/>
                      <wp:docPr id="70" name="Frame70"/>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24510" cy="175260"/>
                      <wp:effectExtent l="0" t="0" r="0" b="0"/>
                      <wp:wrapNone/>
                      <wp:docPr id="71" name="Frame71"/>
                      <a:graphic xmlns:a="http://schemas.openxmlformats.org/drawingml/2006/main">
                        <a:graphicData uri="http://schemas.microsoft.com/office/word/2010/wordprocessingShape">
                          <wps:wsp>
                            <wps:cNvSpPr txBox="1"/>
                            <wps:spPr>
                              <a:xfrm>
                                <a:off x="0" y="0"/>
                                <a:ext cx="524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24460" cy="175260"/>
                      <wp:effectExtent l="0" t="0" r="0" b="0"/>
                      <wp:wrapNone/>
                      <wp:docPr id="73" name="Frame73"/>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53085" cy="175260"/>
                      <wp:effectExtent l="0" t="0" r="0" b="0"/>
                      <wp:wrapNone/>
                      <wp:docPr id="74" name="Frame74"/>
                      <a:graphic xmlns:a="http://schemas.openxmlformats.org/drawingml/2006/main">
                        <a:graphicData uri="http://schemas.microsoft.com/office/word/2010/wordprocessingShape">
                          <wps:wsp>
                            <wps:cNvSpPr txBox="1"/>
                            <wps:spPr>
                              <a:xfrm>
                                <a:off x="0" y="0"/>
                                <a:ext cx="553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5"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Three-Months Ended</w:t>
            </w:r>
          </w:p>
        </w:tc>
      </w:tr>
      <w:tr>
        <w:trPr/>
        <w:tc>
          <w:tcPr>
            <w:tcW w:w="6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March 31, </w:t>
            </w:r>
          </w:p>
        </w:tc>
      </w:tr>
      <w:tr>
        <w:trPr/>
        <w:tc>
          <w:tcPr>
            <w:tcW w:w="64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2023</w:t>
            </w:r>
          </w:p>
        </w:tc>
        <w:tc>
          <w:tcPr>
            <w:tcW w:w="326" w:type="dxa"/>
            <w:tcBorders/>
            <w:shd w:fill="auto" w:val="clear"/>
            <w:vAlign w:val="center"/>
          </w:tcPr>
          <w:p>
            <w:pPr>
              <w:pStyle w:val="TableContents"/>
              <w:spacing w:before="0" w:after="0"/>
              <w:ind w:left="0" w:right="0" w:hanging="0"/>
              <w:jc w:val="center"/>
              <w:rPr/>
            </w:pPr>
            <w:r>
              <w:rPr/>
              <w:t>    </w:t>
            </w:r>
          </w:p>
        </w:tc>
        <w:tc>
          <w:tcPr>
            <w:tcW w:w="106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2022</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FLOWS FROM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income</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397,444</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294,203</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Adjustments to reconcile net income to net cash provided by (used in) operating activities: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Depreciation and amortization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16,808</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14,599</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Non-cash lease expense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2,160</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1,481</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Gain on disposal of property and equipment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(385)</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Stock-based compensation</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16,051</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16,332</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Effect on cash of changes in operating assets and liabilities net of acquisition: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receivable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(167,512)</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(134,433)</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Inventories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35,495</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(208,673)</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expenses and other assets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1,273</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(29,621)</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Prepaid income taxes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3,986</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(5,885)</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Accounts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51,124</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18,329</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14,207</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20,603</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48,265</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61,171</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Accrued compensation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(30,261)</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(32,122)</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taxes payable</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41,617</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(9,818)</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Other liabilities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(751)</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(596)</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Deferred revenue</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(5,046)</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(5,915)</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provided by (used in) operating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424,475</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(351)</w:t>
            </w:r>
          </w:p>
        </w:tc>
      </w:tr>
      <w:tr>
        <w:trPr/>
        <w:tc>
          <w:tcPr>
            <w:tcW w:w="6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FLOWS FROM INVESTING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Sales of available-for-sale investments</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522,501</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504,808</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available-for-sale investments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(518,751)</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(441,925)</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Acquisition of CANarchy, net of cash</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(330,356)</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property and equipment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(40,100)</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(21,511)</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Proceeds from sale of property and equipment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564</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Additions to intangibles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(3,952)</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(8,419)</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Increase in other assets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(13,028)</w:t>
            </w:r>
          </w:p>
        </w:tc>
        <w:tc>
          <w:tcPr>
            <w:tcW w:w="326" w:type="dxa"/>
            <w:tcBorders/>
            <w:shd w:fill="CCEEFF" w:val="clear"/>
            <w:vAlign w:val="center"/>
          </w:tcPr>
          <w:p>
            <w:pPr>
              <w:pStyle w:val="TableContents"/>
              <w:spacing w:before="0" w:after="0"/>
              <w:ind w:left="0" w:right="0" w:hanging="0"/>
              <w:jc w:val="right"/>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(6,241)</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used in investing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(52,766)</w:t>
            </w:r>
          </w:p>
        </w:tc>
        <w:tc>
          <w:tcPr>
            <w:tcW w:w="326" w:type="dxa"/>
            <w:tcBorders/>
            <w:shd w:fill="auto" w:val="clear"/>
            <w:vAlign w:val="center"/>
          </w:tcPr>
          <w:p>
            <w:pPr>
              <w:pStyle w:val="TableContents"/>
              <w:spacing w:before="0" w:after="0"/>
              <w:ind w:left="0" w:right="0" w:hanging="0"/>
              <w:jc w:val="right"/>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(303,630)</w:t>
            </w:r>
          </w:p>
        </w:tc>
      </w:tr>
      <w:tr>
        <w:trPr/>
        <w:tc>
          <w:tcPr>
            <w:tcW w:w="6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FLOWS FROM FINANCING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(Payments) borrowings on debt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(7,271)</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3,454</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Issuance of common stock</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36,348</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4,510</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Purchases of common stock held in treasury</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(35,126)</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(12,187)</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cash used in financing activities</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(6,049)</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(4,223)</w:t>
            </w:r>
          </w:p>
        </w:tc>
      </w:tr>
      <w:tr>
        <w:trPr/>
        <w:tc>
          <w:tcPr>
            <w:tcW w:w="6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Effect of exchange rate changes on cash and cash equivalents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(141)</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(3,472)</w:t>
            </w:r>
          </w:p>
        </w:tc>
      </w:tr>
      <w:tr>
        <w:trPr/>
        <w:tc>
          <w:tcPr>
            <w:tcW w:w="6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NET INCREASE (DECREASE) IN CASH AND CASH EQUIVALENTS</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365,519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(311,676)</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 beginning of period</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2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1,307,141</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1,326,462</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AND CASH EQUIVALENTS, end of period</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1,672,660</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1,014,786</w:t>
            </w:r>
          </w:p>
        </w:tc>
      </w:tr>
      <w:tr>
        <w:trPr/>
        <w:tc>
          <w:tcPr>
            <w:tcW w:w="64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SUPPLEMENTAL INFORMATION:</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871" w:type="dxa"/>
            <w:tcBorders/>
            <w:shd w:fill="auto" w:val="clear"/>
            <w:vAlign w:val="center"/>
          </w:tcPr>
          <w:p>
            <w:pPr>
              <w:pStyle w:val="TableContents"/>
              <w:spacing w:before="0" w:after="0"/>
              <w:ind w:left="0" w:right="0" w:hanging="0"/>
              <w:rPr/>
            </w:pPr>
            <w:r>
              <w:rPr/>
              <w:t>​</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Cash paid during the period for:</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w:t>
            </w:r>
          </w:p>
        </w:tc>
        <w:tc>
          <w:tcPr>
            <w:tcW w:w="871" w:type="dxa"/>
            <w:tcBorders/>
            <w:shd w:fill="CCEEFF" w:val="clear"/>
            <w:vAlign w:val="center"/>
          </w:tcPr>
          <w:p>
            <w:pPr>
              <w:pStyle w:val="TableContents"/>
              <w:spacing w:before="0" w:after="0"/>
              <w:ind w:left="0" w:right="0" w:hanging="0"/>
              <w:rPr/>
            </w:pPr>
            <w:r>
              <w:rPr/>
              <w:t>​</w:t>
            </w:r>
          </w:p>
        </w:tc>
      </w:tr>
      <w:tr>
        <w:trPr/>
        <w:tc>
          <w:tcPr>
            <w:tcW w:w="6466"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Interest</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96</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r>
      <w:tr>
        <w:trPr/>
        <w:tc>
          <w:tcPr>
            <w:tcW w:w="6466" w:type="dxa"/>
            <w:tcBorders/>
            <w:shd w:fill="CCEEFF"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Income taxes</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8"/>
              </w:rPr>
            </w:pPr>
            <w:r>
              <w:rPr>
                <w:rFonts w:ascii="Times New Roman;Times;serif" w:hAnsi="Times New Roman;Times;serif"/>
                <w:sz w:val="18"/>
              </w:rPr>
              <w:t>56,985</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w:t>
            </w:r>
          </w:p>
        </w:tc>
        <w:tc>
          <w:tcPr>
            <w:tcW w:w="87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18"/>
              </w:rPr>
            </w:pPr>
            <w:r>
              <w:rPr>
                <w:rFonts w:ascii="Times New Roman;Times;serif" w:hAnsi="Times New Roman;Times;serif"/>
                <w:sz w:val="18"/>
              </w:rPr>
              <w:t>112,863</w:t>
            </w:r>
          </w:p>
        </w:tc>
      </w:tr>
    </w:tbl>
    <w:p>
      <w:pPr>
        <w:pStyle w:val="TextBody"/>
        <w:spacing w:before="0" w:after="0"/>
        <w:ind w:left="0" w:right="0" w:hanging="0"/>
        <w:rPr/>
      </w:pPr>
      <w:r>
        <w:rPr/>
        <w:t>​</w:t>
      </w:r>
    </w:p>
    <w:p>
      <w:pPr>
        <w:pStyle w:val="TextBody"/>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sz w:val="20"/>
        </w:rPr>
        <w:t>MONSTER BEVERAGE CORPORATION AND SUBSIDIARIES</w:t>
      </w:r>
    </w:p>
    <w:p>
      <w:pPr>
        <w:pStyle w:val="TextBody"/>
        <w:pBdr/>
        <w:spacing w:before="0" w:after="0"/>
        <w:ind w:left="0" w:right="0" w:hanging="0"/>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pBdr/>
        <w:spacing w:before="0" w:after="0"/>
        <w:ind w:left="0" w:right="0" w:hanging="0"/>
        <w:rPr>
          <w:rFonts w:ascii="Times New Roman;Times;serif" w:hAnsi="Times New Roman;Times;serif"/>
          <w:sz w:val="20"/>
        </w:rPr>
      </w:pPr>
      <w:r>
        <w:rPr>
          <w:rFonts w:ascii="Times New Roman;Times;serif" w:hAnsi="Times New Roman;Times;serif"/>
          <w:b/>
          <w:sz w:val="20"/>
        </w:rPr>
        <w:t>FOR THE THREE-MONTHS ENDED</w:t>
      </w:r>
      <w:r>
        <w:rPr>
          <w:rFonts w:ascii="Times New Roman;Times;serif" w:hAnsi="Times New Roman;Times;serif"/>
          <w:sz w:val="20"/>
        </w:rPr>
        <w:t xml:space="preserve"> </w:t>
      </w:r>
      <w:r>
        <w:rPr>
          <w:rFonts w:ascii="Times New Roman;Times;serif" w:hAnsi="Times New Roman;Times;serif"/>
          <w:b/>
          <w:sz w:val="20"/>
        </w:rPr>
        <w:t>MARCH 31, 2023 AND 2022</w:t>
      </w:r>
    </w:p>
    <w:p>
      <w:pPr>
        <w:pStyle w:val="TextBody"/>
        <w:pBdr>
          <w:bottom w:val="single" w:sz="12" w:space="1" w:color="000000"/>
        </w:pBdr>
        <w:spacing w:before="0" w:after="240"/>
        <w:ind w:left="0" w:right="0" w:hanging="0"/>
        <w:rPr>
          <w:rFonts w:ascii="Times New Roman;Times;serif" w:hAnsi="Times New Roman;Times;serif"/>
          <w:b/>
          <w:sz w:val="20"/>
        </w:rPr>
      </w:pPr>
      <w:r>
        <w:rPr>
          <w:rFonts w:ascii="Times New Roman;Times;serif" w:hAnsi="Times New Roman;Times;serif"/>
          <w:b/>
          <w:sz w:val="20"/>
        </w:rPr>
        <w:t>(In Thousands) (Unaudited) (Continued)</w:t>
      </w:r>
    </w:p>
    <w:p>
      <w:pPr>
        <w:pStyle w:val="TextBody"/>
        <w:spacing w:before="0" w:after="240"/>
        <w:ind w:left="0" w:right="0" w:hanging="0"/>
        <w:jc w:val="both"/>
        <w:rPr>
          <w:rFonts w:ascii="Times New Roman;Times;serif" w:hAnsi="Times New Roman;Times;serif"/>
          <w:sz w:val="20"/>
        </w:rPr>
      </w:pPr>
      <w:r>
        <w:rPr>
          <w:rFonts w:ascii="Times New Roman;Times;serif" w:hAnsi="Times New Roman;Times;serif"/>
          <w:sz w:val="20"/>
        </w:rPr>
        <w:t>SUPPLEMENTAL DISCLOSURE OF NON-CASH ITEMS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March 31, 2023 and 2022 were $9.6 million and $11.3 million, respectively, related to net additions to other intangible assets.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accounts payable as of March 31, 2023 and 2022 were $2.5 million and $4.0 million, respectively, related to equipment purchases.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Included in accrued liabilities as of March 31, 2023 was $55.3 million of withholding taxes due related to common stock purchased from employees.</w:t>
      </w:r>
    </w:p>
    <w:p>
      <w:pPr>
        <w:pStyle w:val="TextBody"/>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w:t>
      </w:r>
    </w:p>
    <w:p>
      <w:pPr>
        <w:pStyle w:val="TextBody"/>
        <w:spacing w:before="0" w:after="0"/>
        <w:ind w:left="0" w:right="0" w:hanging="0"/>
        <w:rPr/>
      </w:pPr>
      <w:r>
        <w:rPr/>
        <w:t>​</w:t>
      </w:r>
    </w:p>
    <w:p>
      <w:pPr>
        <w:pStyle w:val="TextBody"/>
        <w:spacing w:before="0" w:after="0"/>
        <w:ind w:left="0" w:right="0" w:hanging="0"/>
        <w:jc w:val="center"/>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617" w:name="a1BASISOFPRESENTATION_156061"/>
      <w:bookmarkStart w:id="618" w:name="a1BASISOFPRESENTATION_156061"/>
      <w:bookmarkEnd w:id="618"/>
    </w:p>
    <w:tbl>
      <w:tblPr>
        <w:tblW w:w="2717" w:type="dxa"/>
        <w:jc w:val="left"/>
        <w:tblInd w:w="0" w:type="dxa"/>
        <w:tblCellMar>
          <w:top w:w="0" w:type="dxa"/>
          <w:left w:w="0" w:type="dxa"/>
          <w:bottom w:w="0" w:type="dxa"/>
          <w:right w:w="0" w:type="dxa"/>
        </w:tblCellMar>
      </w:tblPr>
      <w:tblGrid>
        <w:gridCol w:w="271"/>
        <w:gridCol w:w="2446"/>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w:t>
            </w:r>
          </w:p>
        </w:tc>
        <w:tc>
          <w:tcPr>
            <w:tcW w:w="24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BASIS OF PRESENTATION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Reference is made to the Notes to Consolidated Financial Statements, in Monster Beverage Corporation and Subsidiaries (the “Company”) Annual Report on Form 10-K for the year ended December 31, 2022 for a summary of significant accounting policies utilized by the Company and its consolidated subsidiaries and other disclosures, which should be read in conjunction with this Quarterly Report on Form 10-Q (“Form 10-Q”).</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three-months ended March 31, 2023 and 2022,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Treasury Stock Retirement</w:t>
      </w:r>
      <w:r>
        <w:rPr>
          <w:rFonts w:ascii="Times New Roman;Times;serif" w:hAnsi="Times New Roman;Times;serif"/>
          <w:sz w:val="20"/>
        </w:rPr>
        <w:t xml:space="preserve"> – On March 10, 2023, the Company retired 170.0 million shares (stock split adjusted) of treasury stock owned by the Company. The retired treasury stock had a carrying value of approximately $4.69 billion. The Company’s accounting policy upon the formal retirement of treasury stock is to deduct its par value from common stock and to reflect any excess of cost over par as a deduction from retained earnings.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Stock Split</w:t>
      </w:r>
      <w:r>
        <w:rPr>
          <w:rFonts w:ascii="Times New Roman;Times;serif" w:hAnsi="Times New Roman;Times;serif"/>
          <w:sz w:val="20"/>
        </w:rPr>
        <w:t xml:space="preserve"> – On February 28, 2023, the Company announced a two-for-one stock split of the Company’s common stock to be effected in the form of a 100% stock dividend. The common stock dividend was issued on March 27, 2023 (the “Stock Split”) and the Company’s common stock began trading at the split adjusted price on March 28, 2023. Accordingly, all per share amounts, average common stock outstanding, common stock outstanding, common stock repurchased and equity-based compensation presented in the condensed consolidated financial statements and notes have been adjusted retroactively, where applicable, to reflect the Stock Split. Stockholders’ equity has been retroactively adjusted, where applicable, to give effect to the Stock Split for all periods presented by reclassifying the par value of the additional shares issued in connection with the Stock Split to Common Stock from Retained Earnings and Additional Paid-in Capital.</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pBdr/>
        <w:spacing w:before="0" w:after="0"/>
        <w:ind w:left="0" w:right="0" w:hanging="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tbl>
      <w:tblPr>
        <w:tblW w:w="2672" w:type="dxa"/>
        <w:jc w:val="left"/>
        <w:tblInd w:w="0" w:type="dxa"/>
        <w:tblCellMar>
          <w:top w:w="0" w:type="dxa"/>
          <w:left w:w="0" w:type="dxa"/>
          <w:bottom w:w="0" w:type="dxa"/>
          <w:right w:w="0" w:type="dxa"/>
        </w:tblCellMar>
      </w:tblPr>
      <w:tblGrid>
        <w:gridCol w:w="271"/>
        <w:gridCol w:w="2401"/>
      </w:tblGrid>
      <w:tr>
        <w:trPr/>
        <w:tc>
          <w:tcPr>
            <w:tcW w:w="27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2.</w:t>
            </w:r>
          </w:p>
        </w:tc>
        <w:tc>
          <w:tcPr>
            <w:tcW w:w="2401" w:type="dxa"/>
            <w:tcBorders/>
            <w:shd w:fill="auto" w:val="clear"/>
            <w:vAlign w:val="center"/>
          </w:tcPr>
          <w:p>
            <w:pPr>
              <w:pStyle w:val="TableContents"/>
              <w:spacing w:before="0" w:after="240"/>
              <w:jc w:val="both"/>
              <w:rPr>
                <w:rFonts w:ascii="Times New Roman;Times;serif" w:hAnsi="Times New Roman;Times;serif"/>
                <w:sz w:val="20"/>
              </w:rPr>
            </w:pPr>
            <w:r>
              <w:rPr>
                <w:rFonts w:ascii="Times New Roman;Times;serif" w:hAnsi="Times New Roman;Times;serif"/>
                <w:sz w:val="20"/>
              </w:rPr>
              <w:t>REVENUE RECOGNITION</w:t>
            </w:r>
          </w:p>
        </w:tc>
      </w:tr>
    </w:tbl>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Revenues are accounted for in accordance with Financial Accounting Standards Board (“FASB”) Accounting Standards Codification (“ASC”) 606, “Revenue from Contracts with Consumers”. The Company has four operating and reportable segments: (i) Monster Energy® Drinks segment (“Monster Energy® Drinks”), which is primarily comprised of the Company’s Monster Energy® drinks, Reign Total Body Fuel® high performance energy drinks, Monster</w:t>
      </w:r>
      <w:r>
        <w:rPr>
          <w:rFonts w:ascii="Times New Roman;Times;serif" w:hAnsi="Times New Roman;Times;serif"/>
          <w:i/>
          <w:sz w:val="20"/>
        </w:rPr>
        <w:t>®</w:t>
      </w:r>
      <w:r>
        <w:rPr>
          <w:rFonts w:ascii="Times New Roman;Times;serif" w:hAnsi="Times New Roman;Times;serif"/>
          <w:sz w:val="20"/>
        </w:rPr>
        <w:t xml:space="preserve"> Tour Water</w:t>
      </w:r>
      <w:r>
        <w:rPr>
          <w:rFonts w:ascii="Times New Roman;Times;serif" w:hAnsi="Times New Roman;Times;serif"/>
          <w:sz w:val="15"/>
        </w:rPr>
        <w:t>TM</w:t>
      </w:r>
      <w:r>
        <w:rPr>
          <w:rFonts w:ascii="Times New Roman;Times;serif" w:hAnsi="Times New Roman;Times;serif"/>
          <w:sz w:val="20"/>
        </w:rPr>
        <w:t xml:space="preserve"> and Reign Storm® total wellness energy drinks,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flavored malt beverages (“FMBs”) and (iv) Other segment (“Other”), which is comprised of certain products sold by American Fruits and Flavors, LLC, a wholly-owned subsidiary of the Company, to independent third-party customers (the “AFF Third-Party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and gas chains, drug stores, foodservice customers, value stores, e-commerce retailers and the military.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March 31, 2023 and December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excludes from revenues all taxes assessed by a governmental authority that are imposed on the sale of its products and collected from customers.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Distribution expenses to transport the Company’s products, where applicable, and warehousing expense after manufacture are accounted for within operating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and other allowances (variable consideration) recorded as a reduction to net sales for the Company’s energy drink products primarily include consideration given to the Company’s non-alcohol bottlers/distributors or retail customers including, but not limited to, the following:</w:t>
      </w:r>
    </w:p>
    <w:tbl>
      <w:tblPr>
        <w:tblW w:w="7836" w:type="dxa"/>
        <w:jc w:val="left"/>
        <w:tblInd w:w="0" w:type="dxa"/>
        <w:tblCellMar>
          <w:top w:w="28" w:type="dxa"/>
          <w:left w:w="28" w:type="dxa"/>
          <w:bottom w:w="28" w:type="dxa"/>
          <w:right w:w="28" w:type="dxa"/>
        </w:tblCellMar>
      </w:tblPr>
      <w:tblGrid>
        <w:gridCol w:w="124"/>
        <w:gridCol w:w="256"/>
        <w:gridCol w:w="74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4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discounts granted off list prices to support price promotions to end-consumers by retailers;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reimbursements given to the Company’s bottlers/distributors for agreed portions of their promotional spend with retailers, including slotting, shelf space allowances and other fees for both new and existing products;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fees given to bottlers/distributors and/or directly to retailers for advertising, in-store marketing and promotional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agreed share of slotting, shelf space allowances and other fees given directly to retailers, club stores and/or wholesalers;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incentives given to the Company’s bottlers/distributors and/or retailers for achieving or exceeding certain predetermined sales goals;</w:t>
            </w:r>
          </w:p>
        </w:tc>
      </w:tr>
    </w:tbl>
    <w:tbl>
      <w:tblPr>
        <w:tblW w:w="2796" w:type="dxa"/>
        <w:jc w:val="left"/>
        <w:tblInd w:w="0" w:type="dxa"/>
        <w:tblCellMar>
          <w:top w:w="28" w:type="dxa"/>
          <w:left w:w="28" w:type="dxa"/>
          <w:bottom w:w="28" w:type="dxa"/>
          <w:right w:w="28" w:type="dxa"/>
        </w:tblCellMar>
      </w:tblPr>
      <w:tblGrid>
        <w:gridCol w:w="124"/>
        <w:gridCol w:w="256"/>
        <w:gridCol w:w="2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discounted or free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contractual fees given to the Company’s bottlers/distributors related to sales made directly by the Company to certain customers that fall within the bottlers’/distributors’ sales territories; and</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commissions to TCCC based on the Company’s sales to wholly-owned subsidiaries of TCCC (the “TCCC Subsidiaries”) and/or to TCCC bottlers/distributors accounted for under the equity method by TCCC (the “TCCC Related Parties”).</w:t>
            </w:r>
          </w:p>
        </w:tc>
      </w:tr>
    </w:tbl>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Company’s promotional allowance programs for its energy drink products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for its energy drink products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 Promotional and other allowances for our Alcohol Brands segment primarily include price promotions where permitted.</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The Company also enters into license agreements that generate revenues associated with third-party sales of non-beverage products bearing the Company’s trademarks including, but not limited to, clothing, hats, t-shirts, jackets, helmets and automotive wheels.</w:t>
      </w:r>
    </w:p>
    <w:p>
      <w:pPr>
        <w:pStyle w:val="TextBody"/>
        <w:spacing w:before="0" w:after="200"/>
        <w:ind w:left="0" w:right="0" w:firstLine="720"/>
        <w:jc w:val="both"/>
        <w:rPr>
          <w:rFonts w:ascii="Times New Roman;Times;serif" w:hAnsi="Times New Roman;Times;serif"/>
          <w:sz w:val="20"/>
        </w:rPr>
      </w:pPr>
      <w:r>
        <w:rPr>
          <w:rFonts w:ascii="Times New Roman;Times;serif" w:hAnsi="Times New Roman;Times;serif"/>
          <w:sz w:val="20"/>
        </w:rPr>
        <w:t>Management believes that adequate provision has been made for cash discounts, returns and spoilage based on the Company’s historical experience.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00"/>
        <w:ind w:left="0" w:right="0" w:hanging="0"/>
        <w:jc w:val="both"/>
        <w:rPr>
          <w:rFonts w:ascii="Times New Roman;Times;serif" w:hAnsi="Times New Roman;Times;serif"/>
          <w:i/>
          <w:sz w:val="20"/>
        </w:rPr>
      </w:pPr>
      <w:bookmarkStart w:id="619" w:name="Tc_QNfwUor1S02tabPfkPrqQw_10_14"/>
      <w:bookmarkStart w:id="620" w:name="Tc_tgPVbIPO4UCLNJ9ED6kOww_10_11"/>
      <w:bookmarkStart w:id="621" w:name="Tc_OQ2yth2tt0Kj49XsliCP6Q_10_8"/>
      <w:bookmarkStart w:id="622" w:name="Tc_dVdGKCV3a0WDFWqXqaBH6A_10_5"/>
      <w:bookmarkStart w:id="623" w:name="Tc_LblSoOEw7kmaNfKM_Mpj6A_10_2"/>
      <w:bookmarkStart w:id="624" w:name="Tc_jTdywcogFEuEP78c9Rf80g_10_0"/>
      <w:bookmarkStart w:id="625" w:name="Tc_5OUBso-tOUChLmzWgK85tg_9_0"/>
      <w:bookmarkStart w:id="626" w:name="Tc_MGXKJF9iBUWCZbLHQ6LsVQ_8_0"/>
      <w:bookmarkStart w:id="627" w:name="Tc_rlM13yfXrkSnPDbmvoAWLw_7_0"/>
      <w:bookmarkStart w:id="628" w:name="Tc_-P3bBRc_JE6VEv-S6hJaEQ_6_14"/>
      <w:bookmarkStart w:id="629" w:name="Tc_y2L521F3Dka07xSPtg04Vw_6_11"/>
      <w:bookmarkStart w:id="630" w:name="Tc_-1WTDRfbzU249r0Ab6Vjeg_6_8"/>
      <w:bookmarkStart w:id="631" w:name="Tc_37JtOmbDEUSv_PzvXnaQhA_6_5"/>
      <w:bookmarkStart w:id="632" w:name="Tc_dbWYPNje4UmTfa0XbfTqug_6_2"/>
      <w:bookmarkStart w:id="633" w:name="Tc_trSRqzB7hk238suAojHd3Q_6_0"/>
      <w:bookmarkStart w:id="634" w:name="Tc_i6zVMjGIq0692WqbI-U75A_5_14"/>
      <w:bookmarkStart w:id="635" w:name="Tc_XbiA7WWDyUeeUBUBPMyEjw_5_11"/>
      <w:bookmarkStart w:id="636" w:name="Tc_mUbt025R3kibrPrJtIbApw_5_8"/>
      <w:bookmarkStart w:id="637" w:name="Tc_dHUGC7TAgkKgrmSDkUau0g_5_5"/>
      <w:bookmarkStart w:id="638" w:name="Tc_H25tbp3CIky_ErTWRjSYgQ_5_2"/>
      <w:bookmarkStart w:id="639" w:name="Tc_LD7bhfl3-EiStSPvO52saw_5_0"/>
      <w:bookmarkStart w:id="640" w:name="Tc_vg1-Q8c6Bkyc7C1YNhF-UQ_4_11"/>
      <w:bookmarkStart w:id="641" w:name="Tc_eue_WG9JxkGuN1a_zcSlzg_4_2"/>
      <w:bookmarkStart w:id="642" w:name="Tc_h0Nw7SSmMkiMMLcG665_9w_3_11"/>
      <w:bookmarkStart w:id="643" w:name="Tc_DNXQC5Bn-kqsyiwOlMN9jw_2_11"/>
      <w:bookmarkStart w:id="644" w:name="Tc_JvOxmfI-nU-hm-YSgKEePg_1_2"/>
      <w:bookmarkStart w:id="645" w:name="_220eae69_a6ce_45dc_85c8_6740366435ee"/>
      <w:bookmarkStart w:id="646" w:name="Tc_jZrD7fihmkmfrpSflP5ZKA_10_14"/>
      <w:bookmarkStart w:id="647" w:name="Tc_ABIoAPJ-T0WX6XtyyNzGZw_10_11"/>
      <w:bookmarkStart w:id="648" w:name="Tc_VLqjuW4q60WbR02GD4CEQg_10_8"/>
      <w:bookmarkStart w:id="649" w:name="Tc_vb8fat9erU6DSny4YON2sA_10_5"/>
      <w:bookmarkStart w:id="650" w:name="Tc_y3-q-IKTgE-gdy4cLLFKlg_10_2"/>
      <w:bookmarkStart w:id="651" w:name="Tc_erKuWGHdNUaKrzo3dux7zA_10_0"/>
      <w:bookmarkStart w:id="652" w:name="Tc_OkllY0jkFU6kTlNgAqe4Cw_9_0"/>
      <w:bookmarkStart w:id="653" w:name="Tc_IM3KJ7jdmUaGfBZ8HU6v7A_8_0"/>
      <w:bookmarkStart w:id="654" w:name="Tc_kTl8CgLCs0O9fUIxlaE20g_7_0"/>
      <w:bookmarkStart w:id="655" w:name="Tc_5p_noOSSQUes1ABcZfLfNQ_6_14"/>
      <w:bookmarkStart w:id="656" w:name="Tc_pafF_ciTcE-Bizyl0zVPEQ_6_11"/>
      <w:bookmarkStart w:id="657" w:name="Tc_vp2Q3sAAgEmxVqdN5Py-cA_6_8"/>
      <w:bookmarkStart w:id="658" w:name="Tc_KaKWbV1MNkimlSbXPKdl5w_6_5"/>
      <w:bookmarkStart w:id="659" w:name="Tc_lreG9akLa0KfaOKMIUxPUw_6_2"/>
      <w:bookmarkStart w:id="660" w:name="Tc_Med0cxDWk0mWovRDry1TrQ_6_0"/>
      <w:bookmarkStart w:id="661" w:name="Tc_DVyPsvDhD0SZ7rDbjjZwiw_5_14"/>
      <w:bookmarkStart w:id="662" w:name="Tc_RGpiECJLoE-WLvTJyRUlDw_5_11"/>
      <w:bookmarkStart w:id="663" w:name="Tc_y6Q27Qz820yF00lySYJx6g_5_8"/>
      <w:bookmarkStart w:id="664" w:name="Tc_pMxXTPYUJ0OV5b7V7e10wQ_5_5"/>
      <w:bookmarkStart w:id="665" w:name="Tc_qqXX3XpsGEyluThXHnl8Qw_5_2"/>
      <w:bookmarkStart w:id="666" w:name="Tc_JhIabcQfRkeKwEQSQbTNXA_5_0"/>
      <w:bookmarkStart w:id="667" w:name="Tc_PwCgElwDAkq9qyWH_jDSyQ_4_11"/>
      <w:bookmarkStart w:id="668" w:name="Tc_7Nxa7x_KO0GCMIiWtSiObg_4_2"/>
      <w:bookmarkStart w:id="669" w:name="Tc_Xvg45Y3GmEqXbV_zr781jQ_3_11"/>
      <w:bookmarkStart w:id="670" w:name="Tc_RlPYlkUqhkKKDkAyNA4Rcg_2_11"/>
      <w:bookmarkStart w:id="671" w:name="Tc_vSSmfF100UW16yLTpoTyTQ_1_2"/>
      <w:bookmarkStart w:id="672" w:name="_a455006d_229b_4f87_9ac0_b9e396400e85"/>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Pr>
          <w:rFonts w:ascii="Times New Roman;Times;serif" w:hAnsi="Times New Roman;Times;serif"/>
          <w:i/>
          <w:sz w:val="20"/>
        </w:rPr>
        <w:t>Disaggregation of Revenue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tables disaggregate the Company’s revenue by geographical markets and reportable segments:</w:t>
      </w:r>
    </w:p>
    <w:p>
      <w:pPr>
        <w:pStyle w:val="TextBody"/>
        <w:spacing w:before="0" w:after="0"/>
        <w:ind w:left="0" w:right="0" w:firstLine="720"/>
        <w:jc w:val="both"/>
        <w:rPr/>
      </w:pPr>
      <w:r>
        <w:rPr/>
        <w:t>​</w:t>
      </w:r>
    </w:p>
    <w:tbl>
      <w:tblPr>
        <w:tblW w:w="9230" w:type="dxa"/>
        <w:jc w:val="left"/>
        <w:tblInd w:w="0" w:type="dxa"/>
        <w:tblCellMar>
          <w:top w:w="0" w:type="dxa"/>
          <w:left w:w="0" w:type="dxa"/>
          <w:bottom w:w="0" w:type="dxa"/>
          <w:right w:w="0" w:type="dxa"/>
        </w:tblCellMar>
      </w:tblPr>
      <w:tblGrid>
        <w:gridCol w:w="2161"/>
        <w:gridCol w:w="326"/>
        <w:gridCol w:w="211"/>
        <w:gridCol w:w="931"/>
        <w:gridCol w:w="326"/>
        <w:gridCol w:w="211"/>
        <w:gridCol w:w="781"/>
        <w:gridCol w:w="326"/>
        <w:gridCol w:w="226"/>
        <w:gridCol w:w="840"/>
        <w:gridCol w:w="326"/>
        <w:gridCol w:w="211"/>
        <w:gridCol w:w="781"/>
        <w:gridCol w:w="326"/>
        <w:gridCol w:w="211"/>
        <w:gridCol w:w="103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72235" cy="175260"/>
                      <wp:effectExtent l="0" t="0" r="0" b="0"/>
                      <wp:wrapNone/>
                      <wp:docPr id="75" name="Frame75"/>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7" name="Frame7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591185" cy="175260"/>
                      <wp:effectExtent l="0" t="0" r="0" b="0"/>
                      <wp:wrapNone/>
                      <wp:docPr id="78" name="Frame7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9" name="Frame7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80" name="Frame8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495935" cy="175260"/>
                      <wp:effectExtent l="0" t="0" r="0" b="0"/>
                      <wp:wrapNone/>
                      <wp:docPr id="81" name="Frame8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07010" cy="175260"/>
                      <wp:effectExtent l="0" t="0" r="0" b="0"/>
                      <wp:wrapNone/>
                      <wp:docPr id="82" name="Frame8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43510" cy="175260"/>
                      <wp:effectExtent l="0" t="0" r="0" b="0"/>
                      <wp:wrapNone/>
                      <wp:docPr id="83" name="Frame83"/>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533400" cy="175260"/>
                      <wp:effectExtent l="0" t="0" r="0" b="0"/>
                      <wp:wrapNone/>
                      <wp:docPr id="84" name="Frame84"/>
                      <a:graphic xmlns:a="http://schemas.openxmlformats.org/drawingml/2006/main">
                        <a:graphicData uri="http://schemas.microsoft.com/office/word/2010/wordprocessingShape">
                          <wps:wsp>
                            <wps:cNvSpPr txBox="1"/>
                            <wps:spPr>
                              <a:xfrm>
                                <a:off x="0" y="0"/>
                                <a:ext cx="5334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6" name="Frame8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95935" cy="175260"/>
                      <wp:effectExtent l="0" t="0" r="0" b="0"/>
                      <wp:wrapNone/>
                      <wp:docPr id="87" name="Frame8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8" name="Frame8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57860" cy="175260"/>
                      <wp:effectExtent l="0" t="0" r="0" b="0"/>
                      <wp:wrapNone/>
                      <wp:docPr id="90" name="Frame90"/>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43"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2023</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rPr/>
            </w:pPr>
            <w:r>
              <w:rPr/>
              <w:t>​</w:t>
            </w:r>
          </w:p>
        </w:tc>
        <w:tc>
          <w:tcPr>
            <w:tcW w:w="840"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center"/>
              <w:rPr/>
            </w:pPr>
            <w:r>
              <w:rPr/>
              <w:t>​</w:t>
            </w:r>
          </w:p>
        </w:tc>
      </w:tr>
      <w:tr>
        <w:trPr/>
        <w:tc>
          <w:tcPr>
            <w:tcW w:w="216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0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1,021,328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277,111</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121,994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141,235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1,561,668</w:t>
            </w:r>
          </w:p>
        </w:tc>
      </w:tr>
      <w:tr>
        <w:trPr/>
        <w:tc>
          <w:tcPr>
            <w:tcW w:w="216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43,043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30,951</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4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3,381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86,358</w:t>
            </w:r>
          </w:p>
        </w:tc>
      </w:tr>
      <w:tr>
        <w:trPr/>
        <w:tc>
          <w:tcPr>
            <w:tcW w:w="2161" w:type="dxa"/>
            <w:tcBorders/>
            <w:shd w:fill="CCEEFF" w:val="clear"/>
            <w:vAlign w:val="center"/>
          </w:tcPr>
          <w:p>
            <w:pPr>
              <w:pStyle w:val="TableContents"/>
              <w:pBdr/>
              <w:spacing w:before="0" w:after="0"/>
              <w:ind w:left="0" w:right="0" w:hanging="0"/>
              <w:rPr>
                <w:rFonts w:ascii="Times New Roman;Times;serif" w:hAnsi="Times New Roman;Times;serif"/>
                <w:sz w:val="21"/>
              </w:rPr>
            </w:pPr>
            <w:r>
              <w:rPr>
                <w:rFonts w:ascii="Times New Roman;Times;serif" w:hAnsi="Times New Roman;Times;serif"/>
                <w:sz w:val="21"/>
              </w:rPr>
              <w:t>Alcohol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46,290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40"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46,290</w:t>
            </w:r>
          </w:p>
        </w:tc>
      </w:tr>
      <w:tr>
        <w:trPr/>
        <w:tc>
          <w:tcPr>
            <w:tcW w:w="216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40"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r>
      <w:tr>
        <w:trPr/>
        <w:tc>
          <w:tcPr>
            <w:tcW w:w="216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1,115,275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308,062</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0"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130,977</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144,616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1,698,930</w:t>
            </w:r>
          </w:p>
        </w:tc>
      </w:tr>
    </w:tbl>
    <w:p>
      <w:pPr>
        <w:pStyle w:val="TextBody"/>
        <w:spacing w:before="0" w:after="0"/>
        <w:ind w:left="0" w:right="0" w:firstLine="720"/>
        <w:rPr/>
      </w:pPr>
      <w:r>
        <w:rPr/>
        <w:t>​</w:t>
      </w:r>
    </w:p>
    <w:tbl>
      <w:tblPr>
        <w:tblW w:w="9194" w:type="dxa"/>
        <w:jc w:val="left"/>
        <w:tblInd w:w="0" w:type="dxa"/>
        <w:tblCellMar>
          <w:top w:w="0" w:type="dxa"/>
          <w:left w:w="0" w:type="dxa"/>
          <w:bottom w:w="0" w:type="dxa"/>
          <w:right w:w="0" w:type="dxa"/>
        </w:tblCellMar>
      </w:tblPr>
      <w:tblGrid>
        <w:gridCol w:w="2161"/>
        <w:gridCol w:w="326"/>
        <w:gridCol w:w="211"/>
        <w:gridCol w:w="781"/>
        <w:gridCol w:w="326"/>
        <w:gridCol w:w="211"/>
        <w:gridCol w:w="781"/>
        <w:gridCol w:w="326"/>
        <w:gridCol w:w="226"/>
        <w:gridCol w:w="839"/>
        <w:gridCol w:w="326"/>
        <w:gridCol w:w="211"/>
        <w:gridCol w:w="781"/>
        <w:gridCol w:w="326"/>
        <w:gridCol w:w="326"/>
        <w:gridCol w:w="1036"/>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72235" cy="175260"/>
                      <wp:effectExtent l="0" t="0" r="0" b="0"/>
                      <wp:wrapNone/>
                      <wp:docPr id="91" name="Frame91"/>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260"/>
                      <wp:effectExtent l="0" t="0" r="0" b="0"/>
                      <wp:wrapNone/>
                      <wp:docPr id="92" name="Frame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33985" cy="175260"/>
                      <wp:effectExtent l="0" t="0" r="0" b="0"/>
                      <wp:wrapNone/>
                      <wp:docPr id="93" name="Frame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495935" cy="175260"/>
                      <wp:effectExtent l="0" t="0" r="0" b="0"/>
                      <wp:wrapNone/>
                      <wp:docPr id="94" name="Frame9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495935" cy="175260"/>
                      <wp:effectExtent l="0" t="0" r="0" b="0"/>
                      <wp:wrapNone/>
                      <wp:docPr id="97" name="Frame9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43510" cy="175260"/>
                      <wp:effectExtent l="0" t="0" r="0" b="0"/>
                      <wp:wrapNone/>
                      <wp:docPr id="99" name="Frame99"/>
                      <a:graphic xmlns:a="http://schemas.openxmlformats.org/drawingml/2006/main">
                        <a:graphicData uri="http://schemas.microsoft.com/office/word/2010/wordprocessingShape">
                          <wps:wsp>
                            <wps:cNvSpPr txBox="1"/>
                            <wps:spPr>
                              <a:xfrm>
                                <a:off x="0" y="0"/>
                                <a:ext cx="143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532765" cy="175260"/>
                      <wp:effectExtent l="0" t="0" r="0" b="0"/>
                      <wp:wrapNone/>
                      <wp:docPr id="100" name="Frame100"/>
                      <a:graphic xmlns:a="http://schemas.openxmlformats.org/drawingml/2006/main">
                        <a:graphicData uri="http://schemas.microsoft.com/office/word/2010/wordprocessingShape">
                          <wps:wsp>
                            <wps:cNvSpPr txBox="1"/>
                            <wps:spPr>
                              <a:xfrm>
                                <a:off x="0" y="0"/>
                                <a:ext cx="5327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5935" cy="175260"/>
                      <wp:effectExtent l="0" t="0" r="0" b="0"/>
                      <wp:wrapNone/>
                      <wp:docPr id="103" name="Frame103"/>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5" name="Frame1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57860" cy="175260"/>
                      <wp:effectExtent l="0" t="0" r="0" b="0"/>
                      <wp:wrapNone/>
                      <wp:docPr id="106" name="Frame106"/>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707"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 2022</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Latin</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26" w:type="dxa"/>
            <w:tcBorders/>
            <w:shd w:fill="auto" w:val="clear"/>
            <w:vAlign w:val="center"/>
          </w:tcPr>
          <w:p>
            <w:pPr>
              <w:pStyle w:val="TableContents"/>
              <w:spacing w:before="0" w:after="0"/>
              <w:ind w:left="0" w:right="0" w:hanging="0"/>
              <w:rPr/>
            </w:pPr>
            <w:r>
              <w:rPr/>
              <w:t>​</w:t>
            </w:r>
          </w:p>
        </w:tc>
        <w:tc>
          <w:tcPr>
            <w:tcW w:w="839"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America</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U.S. and</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065"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tc>
        <w:tc>
          <w:tcPr>
            <w:tcW w:w="32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rPr/>
            </w:pPr>
            <w:r>
              <w:rPr/>
              <w:t>​</w:t>
            </w:r>
          </w:p>
        </w:tc>
      </w:tr>
      <w:tr>
        <w:trPr/>
        <w:tc>
          <w:tcPr>
            <w:tcW w:w="216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Canada</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lineRule="auto" w:line="240" w:before="0" w:after="0"/>
              <w:ind w:left="0" w:right="0" w:hanging="0"/>
              <w:jc w:val="center"/>
              <w:rPr>
                <w:rFonts w:ascii="Times New Roman;Times;serif" w:hAnsi="Times New Roman;Times;serif"/>
                <w:sz w:val="20"/>
              </w:rPr>
            </w:pPr>
            <w:r>
              <w:rPr>
                <w:rFonts w:ascii="Times New Roman;Times;serif" w:hAnsi="Times New Roman;Times;serif"/>
                <w:sz w:val="20"/>
              </w:rPr>
              <w:t>EMEA</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    </w:t>
            </w:r>
          </w:p>
        </w:tc>
        <w:tc>
          <w:tcPr>
            <w:tcW w:w="106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Asia Pacific</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Caribbean</w:t>
            </w:r>
          </w:p>
        </w:tc>
        <w:tc>
          <w:tcPr>
            <w:tcW w:w="326" w:type="dxa"/>
            <w:tcBorders/>
            <w:shd w:fill="auto" w:val="clear"/>
            <w:vAlign w:val="center"/>
          </w:tcPr>
          <w:p>
            <w:pPr>
              <w:pStyle w:val="TableContents"/>
              <w:spacing w:before="0" w:after="0"/>
              <w:ind w:left="0" w:right="0" w:hanging="0"/>
              <w:rPr/>
            </w:pPr>
            <w:r>
              <w:rPr/>
              <w:t>    </w:t>
            </w:r>
          </w:p>
        </w:tc>
        <w:tc>
          <w:tcPr>
            <w:tcW w:w="136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925,680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260,889</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110,556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107,722</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1,404,847</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53,051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30,176</w:t>
            </w:r>
          </w:p>
        </w:tc>
        <w:tc>
          <w:tcPr>
            <w:tcW w:w="326" w:type="dxa"/>
            <w:tcBorders/>
            <w:shd w:fill="auto" w:val="clear"/>
            <w:vAlign w:val="center"/>
          </w:tcPr>
          <w:p>
            <w:pPr>
              <w:pStyle w:val="TableContents"/>
              <w:spacing w:before="0" w:after="0"/>
              <w:ind w:left="0" w:right="0" w:hanging="0"/>
              <w:rPr/>
            </w:pPr>
            <w:r>
              <w:rPr/>
              <w:t>​</w:t>
            </w:r>
          </w:p>
        </w:tc>
        <w:tc>
          <w:tcPr>
            <w:tcW w:w="226" w:type="dxa"/>
            <w:tcBorders/>
            <w:shd w:fill="auto" w:val="clear"/>
            <w:vAlign w:val="center"/>
          </w:tcPr>
          <w:p>
            <w:pPr>
              <w:pStyle w:val="TableContents"/>
              <w:spacing w:before="0" w:after="0"/>
              <w:ind w:left="0" w:right="0" w:hanging="0"/>
              <w:rPr/>
            </w:pPr>
            <w:r>
              <w:rPr/>
              <w:t> </w:t>
            </w:r>
          </w:p>
        </w:tc>
        <w:tc>
          <w:tcPr>
            <w:tcW w:w="8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6,662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2,704</w:t>
            </w:r>
          </w:p>
        </w:tc>
        <w:tc>
          <w:tcPr>
            <w:tcW w:w="3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92,593</w:t>
            </w:r>
          </w:p>
        </w:tc>
      </w:tr>
      <w:tr>
        <w:trPr/>
        <w:tc>
          <w:tcPr>
            <w:tcW w:w="2161" w:type="dxa"/>
            <w:tcBorders/>
            <w:shd w:fill="CCEEFF"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1"/>
              </w:rPr>
              <w:t>Alcohol Brands</w:t>
            </w:r>
            <w:r>
              <w:rPr>
                <w:rFonts w:ascii="Times New Roman;Times;serif" w:hAnsi="Times New Roman;Times;serif"/>
                <w:sz w:val="16"/>
              </w:rPr>
              <w:t>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6" w:type="dxa"/>
            <w:tcBorders/>
            <w:shd w:fill="CCEEFF" w:val="clear"/>
            <w:vAlign w:val="center"/>
          </w:tcPr>
          <w:p>
            <w:pPr>
              <w:pStyle w:val="TableContents"/>
              <w:spacing w:before="0" w:after="0"/>
              <w:ind w:left="0" w:right="0" w:hanging="0"/>
              <w:rPr/>
            </w:pPr>
            <w:r>
              <w:rPr/>
              <w:t>​</w:t>
            </w:r>
          </w:p>
        </w:tc>
        <w:tc>
          <w:tcPr>
            <w:tcW w:w="839"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15,207</w:t>
            </w:r>
          </w:p>
        </w:tc>
      </w:tr>
      <w:tr>
        <w:trPr/>
        <w:tc>
          <w:tcPr>
            <w:tcW w:w="21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5,927</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39"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5,927</w:t>
            </w:r>
          </w:p>
        </w:tc>
      </w:tr>
      <w:tr>
        <w:trPr/>
        <w:tc>
          <w:tcPr>
            <w:tcW w:w="21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999,865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291,065</w:t>
            </w:r>
          </w:p>
        </w:tc>
        <w:tc>
          <w:tcPr>
            <w:tcW w:w="326" w:type="dxa"/>
            <w:tcBorders/>
            <w:shd w:fill="CCEEFF" w:val="clear"/>
            <w:vAlign w:val="center"/>
          </w:tcPr>
          <w:p>
            <w:pPr>
              <w:pStyle w:val="TableContents"/>
              <w:spacing w:before="0" w:after="0"/>
              <w:ind w:left="0" w:right="0" w:hanging="0"/>
              <w:rPr/>
            </w:pPr>
            <w:r>
              <w:rPr/>
              <w:t>​</w:t>
            </w:r>
          </w:p>
        </w:tc>
        <w:tc>
          <w:tcPr>
            <w:tcW w:w="2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3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117,218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110,426</w:t>
            </w:r>
          </w:p>
        </w:tc>
        <w:tc>
          <w:tcPr>
            <w:tcW w:w="326" w:type="dxa"/>
            <w:tcBorders/>
            <w:shd w:fill="CCEEFF" w:val="clear"/>
            <w:vAlign w:val="center"/>
          </w:tcPr>
          <w:p>
            <w:pPr>
              <w:pStyle w:val="TableContents"/>
              <w:spacing w:before="0" w:after="0"/>
              <w:ind w:left="0" w:right="0" w:hanging="0"/>
              <w:rPr/>
            </w:pPr>
            <w:r>
              <w:rPr/>
              <w:t>​</w:t>
            </w:r>
          </w:p>
        </w:tc>
        <w:tc>
          <w:tcPr>
            <w:tcW w:w="32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1,518,574</w:t>
            </w:r>
          </w:p>
        </w:tc>
      </w:tr>
    </w:tbl>
    <w:p>
      <w:pPr>
        <w:pStyle w:val="TextBody"/>
        <w:spacing w:before="0" w:after="0"/>
        <w:ind w:left="0" w:right="0" w:hanging="0"/>
        <w:rPr/>
      </w:pPr>
      <w:r>
        <w:rPr/>
        <w:t>​</w:t>
      </w:r>
    </w:p>
    <w:p>
      <w:pPr>
        <w:pStyle w:val="TextBody"/>
        <w:spacing w:lineRule="auto" w:line="240" w:before="0" w:after="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Europe, Middle East and Africa (“EMEA”)</w:t>
      </w:r>
    </w:p>
    <w:p>
      <w:pPr>
        <w:pStyle w:val="TextBody"/>
        <w:spacing w:lineRule="auto" w:line="240" w:before="0" w:after="200"/>
        <w:ind w:left="0" w:right="0" w:hanging="0"/>
        <w:jc w:val="both"/>
        <w:rPr>
          <w:rFonts w:ascii="Times New Roman;Times;serif" w:hAnsi="Times New Roman;Times;serif"/>
          <w:sz w:val="18"/>
        </w:rPr>
      </w:pPr>
      <w:r>
        <w:rPr>
          <w:rFonts w:ascii="Times New Roman;Times;serif" w:hAnsi="Times New Roman;Times;serif"/>
          <w:i/>
          <w:sz w:val="14"/>
        </w:rPr>
        <w:t>2</w:t>
      </w:r>
      <w:r>
        <w:rPr>
          <w:rFonts w:ascii="Times New Roman;Times;serif" w:hAnsi="Times New Roman;Times;serif"/>
          <w:i/>
          <w:sz w:val="18"/>
        </w:rPr>
        <w:t>Effectively from February 17, 2022 to March 31, 2022</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Contract Liabilities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Amounts received from certain bottlers/distributors at inception of their distribution contracts or at the inception of certain sales/marketing programs are accounted for as deferred revenue. As of March 31, 2023, the Company had $264.2 million of deferred revenue, which is included in current and long-term deferred revenue in the Company’s condensed consolidated balance sheet. As of December 31, 2022, the Company had $267.1 million of deferred revenue, which is included in current and long-term deferred revenue in the Company’s condensed consolidated balance sheet. During the three-months ended March 31, 2023 and 2022, $9.9 million and $10.0 million, respectively, of deferred revenue was recognized in net sales. See Note 10.</w:t>
      </w:r>
    </w:p>
    <w:p>
      <w:pPr>
        <w:pStyle w:val="TextBody"/>
        <w:spacing w:before="0" w:after="0"/>
        <w:ind w:left="0" w:right="0" w:hanging="0"/>
        <w:rPr/>
      </w:pPr>
      <w:r>
        <w:rPr/>
        <w:t>​</w:t>
      </w:r>
    </w:p>
    <w:tbl>
      <w:tblPr>
        <w:tblW w:w="1127" w:type="dxa"/>
        <w:jc w:val="left"/>
        <w:tblInd w:w="0" w:type="dxa"/>
        <w:tblCellMar>
          <w:top w:w="0" w:type="dxa"/>
          <w:left w:w="0" w:type="dxa"/>
          <w:bottom w:w="0" w:type="dxa"/>
          <w:right w:w="0" w:type="dxa"/>
        </w:tblCellMar>
      </w:tblPr>
      <w:tblGrid>
        <w:gridCol w:w="271"/>
        <w:gridCol w:w="856"/>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3.</w:t>
            </w:r>
          </w:p>
        </w:tc>
        <w:tc>
          <w:tcPr>
            <w:tcW w:w="85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LEASES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leases identified assets comprised of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Leases are classified as either finance leases or operating leases based on criteria in ASC 842, “Leases”. The Company’s operating leases are comprised of real estate and warehouse equipment, and the Company’s finance leases are comprised of vehicles.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bookmarkStart w:id="673" w:name="Tc_Zcwj62IrNk69aNZttlXwxQ_16_5"/>
      <w:bookmarkStart w:id="674" w:name="Tc_FLmz8b_JWk6vPZN_3h88wg_16_2"/>
      <w:bookmarkStart w:id="675" w:name="Tc_dDhTjr1S00mXOOyI4b5FzA_16_0"/>
      <w:bookmarkStart w:id="676" w:name="Tc_8LzZRZq_S0eLaJGgcjM8ug_14_0"/>
      <w:bookmarkStart w:id="677" w:name="Tc_tf9Q06g56ECHxGNi2Gff5Q_13_0"/>
      <w:bookmarkStart w:id="678" w:name="Tc_Lt29l8N4K0Ceo6QYe97WPw_12_0"/>
      <w:bookmarkStart w:id="679" w:name="Tc_S_ac2Tc2WUqlRA-J3WcpXA_11_0"/>
      <w:bookmarkStart w:id="680" w:name="Tc_tDHrKj0xf0CZOlcPcYgheQ_9_0"/>
      <w:bookmarkStart w:id="681" w:name="Tc_4ohymbg4HEqbgU26ofXz3Q_7_0"/>
      <w:bookmarkStart w:id="682" w:name="Tc_Fde6qJ1VT0OoJbWOLwlToQ_5_5"/>
      <w:bookmarkStart w:id="683" w:name="Tc_6k6VXymV2EC_ljUSrEPMgw_5_2"/>
      <w:bookmarkStart w:id="684" w:name="Tc_xD3CJLYf50yRPIDbLssghw_5_0"/>
      <w:bookmarkStart w:id="685" w:name="Tc_1CigMuN61UO6fV5s8j6gjg_4_5"/>
      <w:bookmarkStart w:id="686" w:name="Tc_utcLt60wfUSsnnKiIypmnw_4_2"/>
      <w:bookmarkStart w:id="687" w:name="Tc_o-PQQUs48E-uL4PPU1BjWA_3_5"/>
      <w:bookmarkStart w:id="688" w:name="Tc_BjvwiegBhUirEXdcupd6Iw_3_2"/>
      <w:bookmarkStart w:id="689" w:name="Tc_7moZrtsk0ke76io6q_ri9Q_2_5"/>
      <w:bookmarkStart w:id="690" w:name="Tc_C4NSg8PKQEu_sAtHEn9BCQ_2_2"/>
      <w:bookmarkStart w:id="691" w:name="Tc_Q6HHq2TVWEyZuY_GXv-6uA_1_5"/>
      <w:bookmarkStart w:id="692" w:name="Tc_7l9sk1nBo0uz3QEDFqc_pw_1_2"/>
      <w:bookmarkStart w:id="693" w:name="_6b33d1b2_6c6a_45c0_8546_2ee48a8c9b4f"/>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r>
        <w:rPr>
          <w:rFonts w:ascii="Times New Roman;Times;serif" w:hAnsi="Times New Roman;Times;serif"/>
          <w:sz w:val="20"/>
        </w:rPr>
        <w:t xml:space="preserve">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Lease expense for operating leases, consisting of lease payments, is recognized on a straight-line basis over the lease term and is included in operating expenses in the consolidated statement of income. Lease expense for finance leases consists of the amortization of the ROU asset on a straight-line basis over the asset’s estimated useful life and is included in operating expenses in the consolidated statement of income. Interest expense on finance leases is calculated using the amortized cost basis and is included in other income (expense), net in the consolidated statement of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leases have remaining lease terms of less than one year to 11 years, </w:t>
      </w:r>
      <w:r>
        <w:rPr>
          <w:rFonts w:ascii="Times New Roman;Times;serif" w:hAnsi="Times New Roman;Times;serif"/>
          <w:b w:val="false"/>
          <w:i w:val="false"/>
          <w:caps w:val="false"/>
          <w:smallCaps w:val="false"/>
          <w:sz w:val="20"/>
        </w:rPr>
        <w:t>some</w:t>
      </w:r>
      <w:r>
        <w:rPr>
          <w:rFonts w:ascii="Times New Roman;Times;serif" w:hAnsi="Times New Roman;Times;serif"/>
          <w:sz w:val="20"/>
        </w:rPr>
        <w:t xml:space="preserve"> of </w:t>
      </w:r>
      <w:r>
        <w:rPr>
          <w:rFonts w:ascii="Times New Roman;Times;serif" w:hAnsi="Times New Roman;Times;serif"/>
          <w:b w:val="false"/>
          <w:i w:val="false"/>
          <w:caps w:val="false"/>
          <w:smallCaps w:val="false"/>
          <w:sz w:val="20"/>
        </w:rPr>
        <w:t>which</w:t>
      </w:r>
      <w:r>
        <w:rPr>
          <w:rFonts w:ascii="Times New Roman;Times;serif" w:hAnsi="Times New Roman;Times;serif"/>
          <w:sz w:val="20"/>
        </w:rPr>
        <w:t xml:space="preserve"> include options to extend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for up to five years, and some of which include options to terminate the </w:t>
      </w:r>
      <w:r>
        <w:rPr>
          <w:rFonts w:ascii="Times New Roman;Times;serif" w:hAnsi="Times New Roman;Times;serif"/>
          <w:b w:val="false"/>
          <w:i w:val="false"/>
          <w:caps w:val="false"/>
          <w:smallCaps w:val="false"/>
          <w:sz w:val="20"/>
        </w:rPr>
        <w:t>leases</w:t>
      </w:r>
      <w:r>
        <w:rPr>
          <w:rFonts w:ascii="Times New Roman;Times;serif" w:hAnsi="Times New Roman;Times;serif"/>
          <w:sz w:val="20"/>
        </w:rPr>
        <w:t xml:space="preserve"> within one year. The Company has elected not to recognize ROU assets and lease liabilities for short-term operating leases that have a term of 12 months or less.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components of lease cost were comprised of the following:</w:t>
      </w:r>
    </w:p>
    <w:p>
      <w:pPr>
        <w:pStyle w:val="TextBody"/>
        <w:spacing w:before="0" w:after="0"/>
        <w:ind w:left="0" w:right="0" w:firstLine="720"/>
        <w:jc w:val="both"/>
        <w:rPr/>
      </w:pPr>
      <w:r>
        <w:rPr/>
        <w:t>​</w:t>
      </w:r>
    </w:p>
    <w:tbl>
      <w:tblPr>
        <w:tblW w:w="5590" w:type="dxa"/>
        <w:jc w:val="left"/>
        <w:tblInd w:w="0" w:type="dxa"/>
        <w:tblCellMar>
          <w:top w:w="0" w:type="dxa"/>
          <w:left w:w="0" w:type="dxa"/>
          <w:bottom w:w="0" w:type="dxa"/>
          <w:right w:w="0" w:type="dxa"/>
        </w:tblCellMar>
      </w:tblPr>
      <w:tblGrid>
        <w:gridCol w:w="2371"/>
        <w:gridCol w:w="326"/>
        <w:gridCol w:w="340"/>
        <w:gridCol w:w="921"/>
        <w:gridCol w:w="326"/>
        <w:gridCol w:w="310"/>
        <w:gridCol w:w="996"/>
      </w:tblGrid>
      <w:tr>
        <w:trPr/>
        <w:tc>
          <w:tcPr>
            <w:tcW w:w="2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505585" cy="175260"/>
                      <wp:effectExtent l="0" t="0" r="0" b="0"/>
                      <wp:wrapNone/>
                      <wp:docPr id="107" name="Frame107"/>
                      <a:graphic xmlns:a="http://schemas.openxmlformats.org/drawingml/2006/main">
                        <a:graphicData uri="http://schemas.microsoft.com/office/word/2010/wordprocessingShape">
                          <wps:wsp>
                            <wps:cNvSpPr txBox="1"/>
                            <wps:spPr>
                              <a:xfrm>
                                <a:off x="0" y="0"/>
                                <a:ext cx="150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5900" cy="175260"/>
                      <wp:effectExtent l="0" t="0" r="0" b="0"/>
                      <wp:wrapNone/>
                      <wp:docPr id="109" name="Frame109"/>
                      <a:graphic xmlns:a="http://schemas.openxmlformats.org/drawingml/2006/main">
                        <a:graphicData uri="http://schemas.microsoft.com/office/word/2010/wordprocessingShape">
                          <wps:wsp>
                            <wps:cNvSpPr txBox="1"/>
                            <wps:spPr>
                              <a:xfrm>
                                <a:off x="0" y="0"/>
                                <a:ext cx="2159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584835" cy="175260"/>
                      <wp:effectExtent l="0" t="0" r="0" b="0"/>
                      <wp:wrapNone/>
                      <wp:docPr id="110" name="Frame110"/>
                      <a:graphic xmlns:a="http://schemas.openxmlformats.org/drawingml/2006/main">
                        <a:graphicData uri="http://schemas.microsoft.com/office/word/2010/wordprocessingShape">
                          <wps:wsp>
                            <wps:cNvSpPr txBox="1"/>
                            <wps:spPr>
                              <a:xfrm>
                                <a:off x="0" y="0"/>
                                <a:ext cx="5848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96850" cy="175260"/>
                      <wp:effectExtent l="0" t="0" r="0" b="0"/>
                      <wp:wrapNone/>
                      <wp:docPr id="112" name="Frame112"/>
                      <a:graphic xmlns:a="http://schemas.openxmlformats.org/drawingml/2006/main">
                        <a:graphicData uri="http://schemas.microsoft.com/office/word/2010/wordprocessingShape">
                          <wps:wsp>
                            <wps:cNvSpPr txBox="1"/>
                            <wps:spPr>
                              <a:xfrm>
                                <a:off x="0" y="0"/>
                                <a:ext cx="1968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32460" cy="175260"/>
                      <wp:effectExtent l="0" t="0" r="0" b="0"/>
                      <wp:wrapNone/>
                      <wp:docPr id="113" name="Frame113"/>
                      <a:graphic xmlns:a="http://schemas.openxmlformats.org/drawingml/2006/main">
                        <a:graphicData uri="http://schemas.microsoft.com/office/word/2010/wordprocessingShape">
                          <wps:wsp>
                            <wps:cNvSpPr txBox="1"/>
                            <wps:spPr>
                              <a:xfrm>
                                <a:off x="0" y="0"/>
                                <a:ext cx="632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Ended</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Ended</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shd w:fill="auto" w:val="clear"/>
            <w:vAlign w:val="center"/>
          </w:tcPr>
          <w:p>
            <w:pPr>
              <w:pStyle w:val="TableContents"/>
              <w:spacing w:before="0" w:after="0"/>
              <w:ind w:left="0" w:right="0" w:hanging="0"/>
              <w:rPr/>
            </w:pPr>
            <w:r>
              <w:rPr/>
              <w:t>​</w:t>
            </w:r>
          </w:p>
        </w:tc>
        <w:tc>
          <w:tcPr>
            <w:tcW w:w="130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26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1,694</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96" w:type="dxa"/>
            <w:tcBorders/>
            <w:shd w:fill="auto" w:val="clear"/>
            <w:vAlign w:val="center"/>
          </w:tcPr>
          <w:p>
            <w:pPr>
              <w:pStyle w:val="TableContents"/>
              <w:spacing w:before="0" w:after="0"/>
              <w:ind w:left="0" w:right="0" w:hanging="0"/>
              <w:jc w:val="right"/>
              <w:rPr/>
            </w:pPr>
            <w:r>
              <w:rPr/>
              <w:t>​</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 lease cost</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 </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96" w:type="dxa"/>
            <w:tcBorders/>
            <w:shd w:fill="auto" w:val="clear"/>
            <w:vAlign w:val="center"/>
          </w:tcPr>
          <w:p>
            <w:pPr>
              <w:pStyle w:val="TableContents"/>
              <w:spacing w:before="0" w:after="0"/>
              <w:ind w:left="0" w:right="0" w:hanging="0"/>
              <w:jc w:val="right"/>
              <w:rPr/>
            </w:pPr>
            <w:r>
              <w:rPr/>
              <w:t>​</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 </w:t>
            </w:r>
          </w:p>
        </w:tc>
        <w:tc>
          <w:tcPr>
            <w:tcW w:w="92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215</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 </w:t>
            </w:r>
          </w:p>
        </w:tc>
        <w:tc>
          <w:tcPr>
            <w:tcW w:w="9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183</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w:t>
            </w:r>
          </w:p>
        </w:tc>
        <w:tc>
          <w:tcPr>
            <w:tcW w:w="92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w:t>
            </w:r>
          </w:p>
        </w:tc>
        <w:tc>
          <w:tcPr>
            <w:tcW w:w="996" w:type="dxa"/>
            <w:tcBorders/>
            <w:shd w:fill="auto" w:val="clear"/>
            <w:vAlign w:val="center"/>
          </w:tcPr>
          <w:p>
            <w:pPr>
              <w:pStyle w:val="TableContents"/>
              <w:spacing w:before="0" w:after="0"/>
              <w:ind w:left="0" w:right="0" w:hanging="0"/>
              <w:jc w:val="right"/>
              <w:rPr/>
            </w:pPr>
            <w:r>
              <w:rPr/>
              <w:t>​</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0"/>
              <w:ind w:left="0" w:right="0" w:hanging="0"/>
              <w:rPr/>
            </w:pPr>
            <w:r>
              <w:rPr/>
              <w:t>​</w:t>
            </w:r>
          </w:p>
        </w:tc>
        <w:tc>
          <w:tcPr>
            <w:tcW w:w="340" w:type="dxa"/>
            <w:tcBorders/>
            <w:shd w:fill="CCEEFF" w:val="clear"/>
            <w:vAlign w:val="center"/>
          </w:tcPr>
          <w:p>
            <w:pPr>
              <w:pStyle w:val="TableContents"/>
              <w:spacing w:before="0" w:after="0"/>
              <w:ind w:left="0" w:right="0" w:hanging="0"/>
              <w:rPr/>
            </w:pPr>
            <w:r>
              <w:rPr/>
              <w:t>​</w:t>
            </w:r>
          </w:p>
        </w:tc>
        <w:tc>
          <w:tcPr>
            <w:tcW w:w="92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shd w:fill="CCEEFF" w:val="clear"/>
            <w:vAlign w:val="center"/>
          </w:tcPr>
          <w:p>
            <w:pPr>
              <w:pStyle w:val="TableContents"/>
              <w:spacing w:before="0" w:after="0"/>
              <w:ind w:left="0" w:right="0" w:hanging="0"/>
              <w:rPr/>
            </w:pPr>
            <w:r>
              <w:rPr/>
              <w:t>​</w:t>
            </w:r>
          </w:p>
        </w:tc>
        <w:tc>
          <w:tcPr>
            <w:tcW w:w="996" w:type="dxa"/>
            <w:tcBorders/>
            <w:shd w:fill="CCEEFF" w:val="clear"/>
            <w:vAlign w:val="center"/>
          </w:tcPr>
          <w:p>
            <w:pPr>
              <w:pStyle w:val="TableContents"/>
              <w:spacing w:before="0" w:after="0"/>
              <w:ind w:left="0" w:right="0" w:hanging="0"/>
              <w:jc w:val="right"/>
              <w:rPr/>
            </w:pPr>
            <w:r>
              <w:rPr/>
              <w:t>​</w:t>
            </w:r>
          </w:p>
        </w:tc>
      </w:tr>
      <w:tr>
        <w:trPr/>
        <w:tc>
          <w:tcPr>
            <w:tcW w:w="23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Amortization of ROU assets</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 </w:t>
            </w:r>
          </w:p>
        </w:tc>
        <w:tc>
          <w:tcPr>
            <w:tcW w:w="9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on lease liabilities</w:t>
            </w:r>
          </w:p>
        </w:tc>
        <w:tc>
          <w:tcPr>
            <w:tcW w:w="326" w:type="dxa"/>
            <w:tcBorders/>
            <w:shd w:fill="CCEEFF" w:val="clear"/>
            <w:vAlign w:val="center"/>
          </w:tcPr>
          <w:p>
            <w:pPr>
              <w:pStyle w:val="TableContents"/>
              <w:spacing w:before="0" w:after="0"/>
              <w:ind w:left="0" w:right="0" w:hanging="0"/>
              <w:rPr/>
            </w:pPr>
            <w:r>
              <w:rPr/>
              <w:t>​</w:t>
            </w:r>
          </w:p>
        </w:tc>
        <w:tc>
          <w:tcPr>
            <w:tcW w:w="34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9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3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Finance lease cost</w:t>
            </w:r>
          </w:p>
        </w:tc>
        <w:tc>
          <w:tcPr>
            <w:tcW w:w="326" w:type="dxa"/>
            <w:tcBorders/>
            <w:shd w:fill="auto" w:val="clear"/>
            <w:vAlign w:val="center"/>
          </w:tcPr>
          <w:p>
            <w:pPr>
              <w:pStyle w:val="TableContents"/>
              <w:spacing w:before="0" w:after="0"/>
              <w:ind w:left="0" w:right="0" w:hanging="0"/>
              <w:rPr/>
            </w:pPr>
            <w:r>
              <w:rPr/>
              <w:t>​</w:t>
            </w:r>
          </w:p>
        </w:tc>
        <w:tc>
          <w:tcPr>
            <w:tcW w:w="340" w:type="dxa"/>
            <w:tcBorders/>
            <w:shd w:fill="auto" w:val="clear"/>
            <w:vAlign w:val="center"/>
          </w:tcPr>
          <w:p>
            <w:pPr>
              <w:pStyle w:val="TableContents"/>
              <w:spacing w:before="0" w:after="0"/>
              <w:ind w:left="0" w:right="0" w:hanging="0"/>
              <w:rPr/>
            </w:pPr>
            <w:r>
              <w:rPr/>
              <w:t> </w:t>
            </w:r>
          </w:p>
        </w:tc>
        <w:tc>
          <w:tcPr>
            <w:tcW w:w="92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w:t>
            </w:r>
          </w:p>
        </w:tc>
        <w:tc>
          <w:tcPr>
            <w:tcW w:w="326" w:type="dxa"/>
            <w:tcBorders/>
            <w:shd w:fill="auto" w:val="clear"/>
            <w:vAlign w:val="center"/>
          </w:tcPr>
          <w:p>
            <w:pPr>
              <w:pStyle w:val="TableContents"/>
              <w:spacing w:before="0" w:after="0"/>
              <w:ind w:left="0" w:right="0" w:hanging="0"/>
              <w:rPr/>
            </w:pPr>
            <w:r>
              <w:rPr/>
              <w:t>​</w:t>
            </w:r>
          </w:p>
        </w:tc>
        <w:tc>
          <w:tcPr>
            <w:tcW w:w="310" w:type="dxa"/>
            <w:tcBorders/>
            <w:shd w:fill="auto" w:val="clear"/>
            <w:vAlign w:val="center"/>
          </w:tcPr>
          <w:p>
            <w:pPr>
              <w:pStyle w:val="TableContents"/>
              <w:spacing w:before="0" w:after="0"/>
              <w:ind w:left="0" w:right="0" w:hanging="0"/>
              <w:rPr/>
            </w:pPr>
            <w:r>
              <w:rPr/>
              <w:t> </w:t>
            </w:r>
          </w:p>
        </w:tc>
        <w:tc>
          <w:tcPr>
            <w:tcW w:w="9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r>
      <w:tr>
        <w:trPr/>
        <w:tc>
          <w:tcPr>
            <w:tcW w:w="23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4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2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9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23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lease cost</w:t>
            </w:r>
          </w:p>
        </w:tc>
        <w:tc>
          <w:tcPr>
            <w:tcW w:w="326" w:type="dxa"/>
            <w:tcBorders/>
            <w:shd w:fill="auto" w:val="clear"/>
            <w:vAlign w:val="center"/>
          </w:tcPr>
          <w:p>
            <w:pPr>
              <w:pStyle w:val="TableContents"/>
              <w:spacing w:before="0" w:after="0"/>
              <w:ind w:left="0" w:right="0" w:hanging="0"/>
              <w:rPr/>
            </w:pPr>
            <w:r>
              <w:rPr/>
              <w:t>​</w:t>
            </w:r>
          </w:p>
        </w:tc>
        <w:tc>
          <w:tcPr>
            <w:tcW w:w="34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2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3,798</w:t>
            </w:r>
          </w:p>
        </w:tc>
        <w:tc>
          <w:tcPr>
            <w:tcW w:w="326" w:type="dxa"/>
            <w:tcBorders/>
            <w:shd w:fill="auto" w:val="clear"/>
            <w:vAlign w:val="center"/>
          </w:tcPr>
          <w:p>
            <w:pPr>
              <w:pStyle w:val="TableContents"/>
              <w:spacing w:before="0" w:after="0"/>
              <w:ind w:left="0" w:right="0" w:hanging="0"/>
              <w:rPr/>
            </w:pPr>
            <w:r>
              <w:rPr/>
              <w:t>​</w:t>
            </w:r>
          </w:p>
        </w:tc>
        <w:tc>
          <w:tcPr>
            <w:tcW w:w="31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2,936</w:t>
            </w:r>
          </w:p>
        </w:tc>
      </w:tr>
    </w:tbl>
    <w:p>
      <w:pPr>
        <w:pStyle w:val="TextBody"/>
        <w:pBdr/>
        <w:spacing w:before="0" w:after="0"/>
        <w:ind w:left="0" w:right="0" w:hanging="72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694" w:name="Tc_cT9MgIIwRUiPRWg3bLE4EQ_5_5"/>
      <w:bookmarkStart w:id="695" w:name="Tc_N7gb2DCNsEWA05Accrl8IA_5_2"/>
      <w:bookmarkStart w:id="696" w:name="Tc_MN3R_k2Qhki1nwwZTtxC_Q_5_0"/>
      <w:bookmarkStart w:id="697" w:name="Tc_M1zl8JAPVUGMyHjk5tZU6w_4_0"/>
      <w:bookmarkStart w:id="698" w:name="Tc_U1R2nV7KEUyDpeZNx1t_Mg_3_5"/>
      <w:bookmarkStart w:id="699" w:name="Tc_g5APhI3g5kOQox7xsUJwQQ_3_2"/>
      <w:bookmarkStart w:id="700" w:name="Tc_w4o7tGuSRk2_bmNGDZU1UQ_3_0"/>
      <w:bookmarkStart w:id="701" w:name="Tc_dSnMITUrZ06MAT8Xv0A3Mw_2_5"/>
      <w:bookmarkStart w:id="702" w:name="Tc_EocomyywpkSZDrkkh-BFsA_2_2"/>
      <w:bookmarkStart w:id="703" w:name="Tc_I2TZiP7oBEODqot5tVZK-w_1_2"/>
      <w:bookmarkStart w:id="704" w:name="_db52fab2_65ce_41fb_b053_fba857614204"/>
      <w:bookmarkStart w:id="705" w:name="Tc__XznxXnjsEG6MQIeikDO5w_5_5"/>
      <w:bookmarkStart w:id="706" w:name="Tc__OG6BrY3TEKoz45A_P839A_5_2"/>
      <w:bookmarkStart w:id="707" w:name="Tc_w1mMkt2-uUy2ozcfGc5q-A_5_0"/>
      <w:bookmarkStart w:id="708" w:name="Tc_pYXeEDW3WECJixcYj3sL7g_3_5"/>
      <w:bookmarkStart w:id="709" w:name="Tc_hXuKj96aGEO8Jlb0Mtw3qQ_3_2"/>
      <w:bookmarkStart w:id="710" w:name="Tc_EKBQAXWK2kucYMPbDy-XLg_2_5"/>
      <w:bookmarkStart w:id="711" w:name="Tc_Zjv7e3hEdUCYUrz0PiiZRw_2_2"/>
      <w:bookmarkStart w:id="712" w:name="Tc_hBpGuzhqOUaG7ku3Udbpxw_1_2"/>
      <w:bookmarkStart w:id="713" w:name="_20b1e11e_7049_4dba_acf9_820e9e6af779"/>
      <w:bookmarkStart w:id="714" w:name="Tc_jOpYs2uylkmLKP1U4Sj9lg_4_11"/>
      <w:bookmarkStart w:id="715" w:name="Tc_oYFHngFUj0OTwR683duuXw_3_11"/>
      <w:bookmarkStart w:id="716" w:name="Tc_dWiQ44teqUSBUrbR7ykIbw_3_8"/>
      <w:bookmarkStart w:id="717" w:name="Tc_g-6g3DcbK0GLdfCIjIZQDQ_3_5"/>
      <w:bookmarkStart w:id="718" w:name="Tc_0XAWhB7pkEe2uk0Grm_VfA_3_2"/>
      <w:bookmarkStart w:id="719" w:name="Tc_sUOyL4eMXEaDw0MbC18SqA_2_11"/>
      <w:bookmarkStart w:id="720" w:name="Tc_7-hvGHqn5EKlyAhUpLFxDA_2_8"/>
      <w:bookmarkStart w:id="721" w:name="Tc_am5i3SiepEGt8QBfGxLnQQ_2_5"/>
      <w:bookmarkStart w:id="722" w:name="Tc_kVjeyYRT40Ws2G9T4vEfnQ_2_2"/>
      <w:bookmarkStart w:id="723" w:name="Tc_hag7HMmnbE6yTaZWJFLEtw_1_2"/>
      <w:bookmarkStart w:id="724" w:name="_09a57d3a_40c5_4f20_9604_2a53090ca789"/>
      <w:bookmarkStart w:id="725" w:name="Tc_VFGvmy9BxU2WRW4SRl6IzQ_4_11"/>
      <w:bookmarkStart w:id="726" w:name="Tc_-90R8zRcb0WTFXakJMwbpw_3_11"/>
      <w:bookmarkStart w:id="727" w:name="Tc_1ryT9yHY4UyLdBj_EOjXwg_3_8"/>
      <w:bookmarkStart w:id="728" w:name="Tc_9o0umnagTUervGFca74Mfw_3_5"/>
      <w:bookmarkStart w:id="729" w:name="Tc_JBhzCPkUsUu6lj0Skz1K3Q_3_2"/>
      <w:bookmarkStart w:id="730" w:name="Tc_JHkarhKpzkG6_gIDGSkYOw_2_11"/>
      <w:bookmarkStart w:id="731" w:name="Tc__z57J4uq8kGjEuVfW9WxYw_2_8"/>
      <w:bookmarkStart w:id="732" w:name="Tc_w_FtmqzJ-EW-Uw9yhRCYXg_2_5"/>
      <w:bookmarkStart w:id="733" w:name="Tc_l-l_RLPZE0GhibvJQ49CFg_2_2"/>
      <w:bookmarkStart w:id="734" w:name="Tc_ut9FGnWyh0yhcWF5cmb_iQ_1_2"/>
      <w:bookmarkStart w:id="735" w:name="_36fc1475_3ceb_4dc3_bc1e_1933761f20dc"/>
      <w:bookmarkStart w:id="736" w:name="Tc_yGsDDdPhxkeGUu_4rmRDpQ_11_0"/>
      <w:bookmarkStart w:id="737" w:name="Tc_TZgkhFLWbUuPR7QUFg-yRA_10_0"/>
      <w:bookmarkStart w:id="738" w:name="Tc_Dd6WJmzPD0ScZ1C2i5LKuQ_9_0"/>
      <w:bookmarkStart w:id="739" w:name="Tc_P3KHKJGv2UupQBwi0PCWqg_7_0"/>
      <w:bookmarkStart w:id="740" w:name="Tc_KkeXSLqrmk-trvGJJM_JJA_6_0"/>
      <w:bookmarkStart w:id="741" w:name="Tc_aGSoaTSqEEyC8hYoWZNQ2w_5_5"/>
      <w:bookmarkStart w:id="742" w:name="Tc_67mHzeGwIUGMXM-gEwlnJA_5_2"/>
      <w:bookmarkStart w:id="743" w:name="Tc_cBONJqOrckKKynxbbd1Hag_5_0"/>
      <w:bookmarkStart w:id="744" w:name="Tc_1_HNnpsEd0mrbLqDDU5taw_4_0"/>
      <w:bookmarkStart w:id="745" w:name="Tc_dtWCANTWcEWAHnyH0c5qOA_3_5"/>
      <w:bookmarkStart w:id="746" w:name="Tc_28xvEBJd2EeVsKQXP0vmcw_3_2"/>
      <w:bookmarkStart w:id="747" w:name="Tc_qePtRwwmMUigSclPG0nF8A_2_5"/>
      <w:bookmarkStart w:id="748" w:name="Tc_fa2iH2zCME65cU3iOKmEiA_2_2"/>
      <w:bookmarkStart w:id="749" w:name="Tc_5DYtG1GmrUiXLioWMIyP5A_1_5"/>
      <w:bookmarkStart w:id="750" w:name="Tc_EGTiC_2ApUOl7Mz89Ppdnw_1_2"/>
      <w:bookmarkStart w:id="751" w:name="_059d5a70_c898_4c94_a2d4_60573ca02f10"/>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sz w:val="20"/>
        </w:rPr>
        <w:t>Supplemental cash flow information for the following periods:</w:t>
      </w:r>
    </w:p>
    <w:p>
      <w:pPr>
        <w:pStyle w:val="TextBody"/>
        <w:spacing w:before="0" w:after="0"/>
        <w:ind w:left="0" w:right="0" w:firstLine="720"/>
        <w:jc w:val="both"/>
        <w:rPr/>
      </w:pPr>
      <w:r>
        <w:rPr/>
        <w:t>​</w:t>
      </w:r>
    </w:p>
    <w:tbl>
      <w:tblPr>
        <w:tblW w:w="9563" w:type="dxa"/>
        <w:jc w:val="left"/>
        <w:tblInd w:w="0" w:type="dxa"/>
        <w:tblCellMar>
          <w:top w:w="0" w:type="dxa"/>
          <w:left w:w="0" w:type="dxa"/>
          <w:bottom w:w="0" w:type="dxa"/>
          <w:right w:w="0" w:type="dxa"/>
        </w:tblCellMar>
      </w:tblPr>
      <w:tblGrid>
        <w:gridCol w:w="5866"/>
        <w:gridCol w:w="326"/>
        <w:gridCol w:w="404"/>
        <w:gridCol w:w="1096"/>
        <w:gridCol w:w="326"/>
        <w:gridCol w:w="327"/>
        <w:gridCol w:w="1218"/>
      </w:tblGrid>
      <w:tr>
        <w:trPr/>
        <w:tc>
          <w:tcPr>
            <w:tcW w:w="58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724910" cy="175260"/>
                      <wp:effectExtent l="0" t="0" r="0" b="0"/>
                      <wp:wrapNone/>
                      <wp:docPr id="114" name="Frame114"/>
                      <a:graphic xmlns:a="http://schemas.openxmlformats.org/drawingml/2006/main">
                        <a:graphicData uri="http://schemas.microsoft.com/office/word/2010/wordprocessingShape">
                          <wps:wsp>
                            <wps:cNvSpPr txBox="1"/>
                            <wps:spPr>
                              <a:xfrm>
                                <a:off x="0" y="0"/>
                                <a:ext cx="3724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0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56540" cy="175260"/>
                      <wp:effectExtent l="0" t="0" r="0" b="0"/>
                      <wp:wrapNone/>
                      <wp:docPr id="116" name="Frame116"/>
                      <a:graphic xmlns:a="http://schemas.openxmlformats.org/drawingml/2006/main">
                        <a:graphicData uri="http://schemas.microsoft.com/office/word/2010/wordprocessingShape">
                          <wps:wsp>
                            <wps:cNvSpPr txBox="1"/>
                            <wps:spPr>
                              <a:xfrm>
                                <a:off x="0" y="0"/>
                                <a:ext cx="2565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95960" cy="175260"/>
                      <wp:effectExtent l="0" t="0" r="0" b="0"/>
                      <wp:wrapNone/>
                      <wp:docPr id="117" name="Frame117"/>
                      <a:graphic xmlns:a="http://schemas.openxmlformats.org/drawingml/2006/main">
                        <a:graphicData uri="http://schemas.microsoft.com/office/word/2010/wordprocessingShape">
                          <wps:wsp>
                            <wps:cNvSpPr txBox="1"/>
                            <wps:spPr>
                              <a:xfrm>
                                <a:off x="0" y="0"/>
                                <a:ext cx="695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645" cy="175260"/>
                      <wp:effectExtent l="0" t="0" r="0" b="0"/>
                      <wp:wrapNone/>
                      <wp:docPr id="119" name="Frame119"/>
                      <a:graphic xmlns:a="http://schemas.openxmlformats.org/drawingml/2006/main">
                        <a:graphicData uri="http://schemas.microsoft.com/office/word/2010/wordprocessingShape">
                          <wps:wsp>
                            <wps:cNvSpPr txBox="1"/>
                            <wps:spPr>
                              <a:xfrm>
                                <a:off x="0" y="0"/>
                                <a:ext cx="2076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73430" cy="175260"/>
                      <wp:effectExtent l="0" t="0" r="0" b="0"/>
                      <wp:wrapNone/>
                      <wp:docPr id="120" name="Frame120"/>
                      <a:graphic xmlns:a="http://schemas.openxmlformats.org/drawingml/2006/main">
                        <a:graphicData uri="http://schemas.microsoft.com/office/word/2010/wordprocessingShape">
                          <wps:wsp>
                            <wps:cNvSpPr txBox="1"/>
                            <wps:spPr>
                              <a:xfrm>
                                <a:off x="0" y="0"/>
                                <a:ext cx="7734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w:t>
            </w:r>
          </w:p>
        </w:tc>
        <w:tc>
          <w:tcPr>
            <w:tcW w:w="326" w:type="dxa"/>
            <w:tcBorders/>
            <w:shd w:fill="auto" w:val="clear"/>
            <w:vAlign w:val="center"/>
          </w:tcPr>
          <w:p>
            <w:pPr>
              <w:pStyle w:val="TableContents"/>
              <w:spacing w:before="0" w:after="0"/>
              <w:ind w:left="0" w:right="0" w:hanging="0"/>
              <w:rPr/>
            </w:pPr>
            <w:r>
              <w:rPr/>
              <w:t>​</w:t>
            </w:r>
          </w:p>
        </w:tc>
        <w:tc>
          <w:tcPr>
            <w:tcW w:w="154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w: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Ended March 31,</w:t>
            </w:r>
          </w:p>
        </w:tc>
        <w:tc>
          <w:tcPr>
            <w:tcW w:w="326" w:type="dxa"/>
            <w:tcBorders/>
            <w:shd w:fill="auto" w:val="clear"/>
            <w:vAlign w:val="center"/>
          </w:tcPr>
          <w:p>
            <w:pPr>
              <w:pStyle w:val="TableContents"/>
              <w:spacing w:before="0" w:after="0"/>
              <w:ind w:left="0" w:right="0" w:hanging="0"/>
              <w:rPr/>
            </w:pPr>
            <w:r>
              <w:rPr/>
              <w:t>​</w:t>
            </w:r>
          </w:p>
        </w:tc>
        <w:tc>
          <w:tcPr>
            <w:tcW w:w="154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Ended March 31,</w:t>
            </w:r>
          </w:p>
        </w:tc>
      </w:tr>
      <w:tr>
        <w:trPr/>
        <w:tc>
          <w:tcPr>
            <w:tcW w:w="58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54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paid for amounts included in the measurement of lease liabilities:</w:t>
            </w:r>
          </w:p>
        </w:tc>
        <w:tc>
          <w:tcPr>
            <w:tcW w:w="326"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rPr/>
            </w:pPr>
            <w:r>
              <w:rPr/>
              <w:t>​</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2,391</w:t>
            </w:r>
          </w:p>
        </w:tc>
        <w:tc>
          <w:tcPr>
            <w:tcW w:w="32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1,652</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cash outflows from finance leases</w:t>
            </w:r>
          </w:p>
        </w:tc>
        <w:tc>
          <w:tcPr>
            <w:tcW w:w="326"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598</w:t>
            </w:r>
          </w:p>
        </w:tc>
        <w:tc>
          <w:tcPr>
            <w:tcW w:w="32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w:t>
            </w:r>
          </w:p>
        </w:tc>
      </w:tr>
      <w:tr>
        <w:trPr/>
        <w:tc>
          <w:tcPr>
            <w:tcW w:w="58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pPr>
            <w:r>
              <w:rPr/>
              <w:t>​</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ROU assets obtained in exchange for lease obligations:</w:t>
            </w:r>
          </w:p>
        </w:tc>
        <w:tc>
          <w:tcPr>
            <w:tcW w:w="326"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0" w:hanging="0"/>
              <w:jc w:val="right"/>
              <w:rPr/>
            </w:pPr>
            <w:r>
              <w:rPr/>
              <w:t>​</w:t>
            </w:r>
          </w:p>
        </w:tc>
      </w:tr>
      <w:tr>
        <w:trPr/>
        <w:tc>
          <w:tcPr>
            <w:tcW w:w="58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spacing w:before="0" w:after="0"/>
              <w:ind w:left="0" w:right="0" w:hanging="0"/>
              <w:rPr/>
            </w:pPr>
            <w:r>
              <w:rPr/>
              <w:t>​</w:t>
            </w:r>
          </w:p>
        </w:tc>
        <w:tc>
          <w:tcPr>
            <w:tcW w:w="404" w:type="dxa"/>
            <w:tcBorders/>
            <w:shd w:fill="CCEEFF" w:val="clear"/>
            <w:vAlign w:val="center"/>
          </w:tcPr>
          <w:p>
            <w:pPr>
              <w:pStyle w:val="TableContents"/>
              <w:spacing w:before="0" w:after="0"/>
              <w:ind w:left="0" w:right="0" w:hanging="0"/>
              <w:rPr/>
            </w:pPr>
            <w:r>
              <w:rPr/>
              <w:t>​</w:t>
            </w:r>
          </w:p>
        </w:tc>
        <w:tc>
          <w:tcPr>
            <w:tcW w:w="10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2,227</w:t>
            </w:r>
          </w:p>
        </w:tc>
        <w:tc>
          <w:tcPr>
            <w:tcW w:w="326" w:type="dxa"/>
            <w:tcBorders/>
            <w:shd w:fill="CCEEFF" w:val="clear"/>
            <w:vAlign w:val="center"/>
          </w:tcPr>
          <w:p>
            <w:pPr>
              <w:pStyle w:val="TableContents"/>
              <w:spacing w:before="0" w:after="0"/>
              <w:ind w:left="0" w:right="0" w:hanging="0"/>
              <w:rPr/>
            </w:pPr>
            <w:r>
              <w:rPr/>
              <w:t>​</w:t>
            </w:r>
          </w:p>
        </w:tc>
        <w:tc>
          <w:tcPr>
            <w:tcW w:w="327" w:type="dxa"/>
            <w:tcBorders/>
            <w:shd w:fill="CCEEFF" w:val="clear"/>
            <w:vAlign w:val="center"/>
          </w:tcPr>
          <w:p>
            <w:pPr>
              <w:pStyle w:val="TableContents"/>
              <w:spacing w:before="0" w:after="0"/>
              <w:ind w:left="0" w:right="0" w:hanging="0"/>
              <w:rPr/>
            </w:pPr>
            <w:r>
              <w:rPr/>
              <w:t>​</w:t>
            </w:r>
          </w:p>
        </w:tc>
        <w:tc>
          <w:tcPr>
            <w:tcW w:w="121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832</w:t>
            </w:r>
          </w:p>
        </w:tc>
      </w:tr>
      <w:tr>
        <w:trPr/>
        <w:tc>
          <w:tcPr>
            <w:tcW w:w="58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0"/>
              <w:ind w:left="0" w:right="0" w:hanging="0"/>
              <w:rPr/>
            </w:pPr>
            <w:r>
              <w:rPr/>
              <w:t>​</w:t>
            </w:r>
          </w:p>
        </w:tc>
        <w:tc>
          <w:tcPr>
            <w:tcW w:w="404" w:type="dxa"/>
            <w:tcBorders/>
            <w:shd w:fill="auto" w:val="clear"/>
            <w:vAlign w:val="center"/>
          </w:tcPr>
          <w:p>
            <w:pPr>
              <w:pStyle w:val="TableContents"/>
              <w:spacing w:before="0" w:after="0"/>
              <w:ind w:left="0" w:right="0" w:hanging="0"/>
              <w:rPr/>
            </w:pPr>
            <w:r>
              <w:rPr/>
              <w:t>​</w:t>
            </w:r>
          </w:p>
        </w:tc>
        <w:tc>
          <w:tcPr>
            <w:tcW w:w="10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w:t>
            </w:r>
          </w:p>
        </w:tc>
        <w:tc>
          <w:tcPr>
            <w:tcW w:w="326" w:type="dxa"/>
            <w:tcBorders/>
            <w:shd w:fill="auto" w:val="clear"/>
            <w:vAlign w:val="center"/>
          </w:tcPr>
          <w:p>
            <w:pPr>
              <w:pStyle w:val="TableContents"/>
              <w:spacing w:before="0" w:after="0"/>
              <w:ind w:left="0" w:right="0" w:hanging="0"/>
              <w:rPr/>
            </w:pPr>
            <w:r>
              <w:rPr/>
              <w:t>​</w:t>
            </w:r>
          </w:p>
        </w:tc>
        <w:tc>
          <w:tcPr>
            <w:tcW w:w="327" w:type="dxa"/>
            <w:tcBorders/>
            <w:shd w:fill="auto" w:val="clear"/>
            <w:vAlign w:val="center"/>
          </w:tcPr>
          <w:p>
            <w:pPr>
              <w:pStyle w:val="TableContents"/>
              <w:spacing w:before="0" w:after="0"/>
              <w:ind w:left="0" w:right="0" w:hanging="0"/>
              <w:rPr/>
            </w:pPr>
            <w:r>
              <w:rPr/>
              <w:t>​</w:t>
            </w:r>
          </w:p>
        </w:tc>
        <w:tc>
          <w:tcPr>
            <w:tcW w:w="1218" w:type="dxa"/>
            <w:tcBorders/>
            <w:shd w:fill="auto"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13,197</w:t>
            </w:r>
          </w:p>
        </w:tc>
      </w:tr>
    </w:tbl>
    <w:p>
      <w:pPr>
        <w:pStyle w:val="TextBody"/>
        <w:pBdr/>
        <w:spacing w:before="0" w:after="0"/>
        <w:ind w:left="0" w:right="0" w:hanging="720"/>
        <w:rPr>
          <w:highlight w:val="yellow"/>
        </w:rPr>
      </w:pPr>
      <w:r>
        <w:rPr>
          <w:highlight w:val="yellow"/>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ROU assets for operating and finance leases recognized in the Company’s condensed consolidated balance sheets were comprised of the following at:</w:t>
      </w:r>
    </w:p>
    <w:p>
      <w:pPr>
        <w:pStyle w:val="TextBody"/>
        <w:spacing w:before="0" w:after="0"/>
        <w:ind w:left="0" w:right="0" w:firstLine="720"/>
        <w:jc w:val="both"/>
        <w:rPr/>
      </w:pPr>
      <w:r>
        <w:rPr/>
        <w:t>​</w:t>
      </w:r>
    </w:p>
    <w:tbl>
      <w:tblPr>
        <w:tblW w:w="8150" w:type="dxa"/>
        <w:jc w:val="left"/>
        <w:tblInd w:w="0" w:type="dxa"/>
        <w:tblCellMar>
          <w:top w:w="0" w:type="dxa"/>
          <w:left w:w="0" w:type="dxa"/>
          <w:bottom w:w="0" w:type="dxa"/>
          <w:right w:w="0" w:type="dxa"/>
        </w:tblCellMar>
      </w:tblPr>
      <w:tblGrid>
        <w:gridCol w:w="1456"/>
        <w:gridCol w:w="326"/>
        <w:gridCol w:w="242"/>
        <w:gridCol w:w="779"/>
        <w:gridCol w:w="326"/>
        <w:gridCol w:w="271"/>
        <w:gridCol w:w="735"/>
        <w:gridCol w:w="326"/>
        <w:gridCol w:w="211"/>
        <w:gridCol w:w="676"/>
        <w:gridCol w:w="326"/>
        <w:gridCol w:w="2476"/>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924560" cy="175260"/>
                      <wp:effectExtent l="0" t="0" r="0" b="0"/>
                      <wp:wrapNone/>
                      <wp:docPr id="121" name="Frame121"/>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53670" cy="175260"/>
                      <wp:effectExtent l="0" t="0" r="0" b="0"/>
                      <wp:wrapNone/>
                      <wp:docPr id="123" name="Frame123"/>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494665" cy="175260"/>
                      <wp:effectExtent l="0" t="0" r="0" b="0"/>
                      <wp:wrapNone/>
                      <wp:docPr id="124" name="Frame124"/>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72085" cy="175260"/>
                      <wp:effectExtent l="0" t="0" r="0" b="0"/>
                      <wp:wrapNone/>
                      <wp:docPr id="126" name="Frame12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466725" cy="175260"/>
                      <wp:effectExtent l="0" t="0" r="0" b="0"/>
                      <wp:wrapNone/>
                      <wp:docPr id="127" name="Frame127"/>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07010" cy="175260"/>
                      <wp:effectExtent l="0" t="0" r="0" b="0"/>
                      <wp:wrapNone/>
                      <wp:docPr id="128" name="Frame1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1" name="Frame1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572260" cy="175260"/>
                      <wp:effectExtent l="0" t="0" r="0" b="0"/>
                      <wp:wrapNone/>
                      <wp:docPr id="132" name="Frame132"/>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6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Real Estate</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35,953</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36,209</w:t>
            </w:r>
          </w:p>
        </w:tc>
        <w:tc>
          <w:tcPr>
            <w:tcW w:w="326" w:type="dxa"/>
            <w:tcBorders/>
            <w:shd w:fill="CCEEFF" w:val="clear"/>
            <w:vAlign w:val="center"/>
          </w:tcPr>
          <w:p>
            <w:pPr>
              <w:pStyle w:val="TableContents"/>
              <w:spacing w:before="0" w:after="0"/>
              <w:ind w:left="0" w:right="0" w:hanging="0"/>
              <w:rPr/>
            </w:pPr>
            <w:r>
              <w:rPr/>
              <w:t>​</w:t>
            </w:r>
          </w:p>
        </w:tc>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leases</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jc w:val="right"/>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3,694</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r>
    </w:tbl>
    <w:p>
      <w:pPr>
        <w:pStyle w:val="TextBody"/>
        <w:pBdr/>
        <w:spacing w:before="0" w:after="0"/>
        <w:ind w:left="0" w:right="0" w:hanging="720"/>
        <w:rPr/>
      </w:pPr>
      <w:r>
        <w:rPr/>
        <w:t>​</w:t>
      </w:r>
    </w:p>
    <w:tbl>
      <w:tblPr>
        <w:tblW w:w="8150" w:type="dxa"/>
        <w:jc w:val="left"/>
        <w:tblInd w:w="0" w:type="dxa"/>
        <w:tblCellMar>
          <w:top w:w="0" w:type="dxa"/>
          <w:left w:w="0" w:type="dxa"/>
          <w:bottom w:w="0" w:type="dxa"/>
          <w:right w:w="0" w:type="dxa"/>
        </w:tblCellMar>
      </w:tblPr>
      <w:tblGrid>
        <w:gridCol w:w="1456"/>
        <w:gridCol w:w="326"/>
        <w:gridCol w:w="242"/>
        <w:gridCol w:w="779"/>
        <w:gridCol w:w="326"/>
        <w:gridCol w:w="271"/>
        <w:gridCol w:w="735"/>
        <w:gridCol w:w="326"/>
        <w:gridCol w:w="211"/>
        <w:gridCol w:w="676"/>
        <w:gridCol w:w="326"/>
        <w:gridCol w:w="2476"/>
      </w:tblGrid>
      <w:tr>
        <w:trPr/>
        <w:tc>
          <w:tcPr>
            <w:tcW w:w="14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924560" cy="175260"/>
                      <wp:effectExtent l="0" t="0" r="0" b="0"/>
                      <wp:wrapNone/>
                      <wp:docPr id="133" name="Frame133"/>
                      <a:graphic xmlns:a="http://schemas.openxmlformats.org/drawingml/2006/main">
                        <a:graphicData uri="http://schemas.microsoft.com/office/word/2010/wordprocessingShape">
                          <wps:wsp>
                            <wps:cNvSpPr txBox="1"/>
                            <wps:spPr>
                              <a:xfrm>
                                <a:off x="0" y="0"/>
                                <a:ext cx="924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4" name="Frame1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53670" cy="175260"/>
                      <wp:effectExtent l="0" t="0" r="0" b="0"/>
                      <wp:wrapNone/>
                      <wp:docPr id="135" name="Frame135"/>
                      <a:graphic xmlns:a="http://schemas.openxmlformats.org/drawingml/2006/main">
                        <a:graphicData uri="http://schemas.microsoft.com/office/word/2010/wordprocessingShape">
                          <wps:wsp>
                            <wps:cNvSpPr txBox="1"/>
                            <wps:spPr>
                              <a:xfrm>
                                <a:off x="0" y="0"/>
                                <a:ext cx="153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94665" cy="175260"/>
                      <wp:effectExtent l="0" t="0" r="0" b="0"/>
                      <wp:wrapNone/>
                      <wp:docPr id="136" name="Frame136"/>
                      <a:graphic xmlns:a="http://schemas.openxmlformats.org/drawingml/2006/main">
                        <a:graphicData uri="http://schemas.microsoft.com/office/word/2010/wordprocessingShape">
                          <wps:wsp>
                            <wps:cNvSpPr txBox="1"/>
                            <wps:spPr>
                              <a:xfrm>
                                <a:off x="0" y="0"/>
                                <a:ext cx="494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07010" cy="175260"/>
                      <wp:effectExtent l="0" t="0" r="0" b="0"/>
                      <wp:wrapNone/>
                      <wp:docPr id="137" name="Frame13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2085" cy="175260"/>
                      <wp:effectExtent l="0" t="0" r="0" b="0"/>
                      <wp:wrapNone/>
                      <wp:docPr id="138" name="Frame138"/>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66725" cy="175260"/>
                      <wp:effectExtent l="0" t="0" r="0" b="0"/>
                      <wp:wrapNone/>
                      <wp:docPr id="139" name="Frame139"/>
                      <a:graphic xmlns:a="http://schemas.openxmlformats.org/drawingml/2006/main">
                        <a:graphicData uri="http://schemas.microsoft.com/office/word/2010/wordprocessingShape">
                          <wps:wsp>
                            <wps:cNvSpPr txBox="1"/>
                            <wps:spPr>
                              <a:xfrm>
                                <a:off x="0" y="0"/>
                                <a:ext cx="4667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29260" cy="175260"/>
                      <wp:effectExtent l="0" t="0" r="0" b="0"/>
                      <wp:wrapNone/>
                      <wp:docPr id="142" name="Frame14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572260" cy="175260"/>
                      <wp:effectExtent l="0" t="0" r="0" b="0"/>
                      <wp:wrapNone/>
                      <wp:docPr id="144" name="Frame144"/>
                      <a:graphic xmlns:a="http://schemas.openxmlformats.org/drawingml/2006/main">
                        <a:graphicData uri="http://schemas.microsoft.com/office/word/2010/wordprocessingShape">
                          <wps:wsp>
                            <wps:cNvSpPr txBox="1"/>
                            <wps:spPr>
                              <a:xfrm>
                                <a:off x="0" y="0"/>
                                <a:ext cx="1572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566" w:type="dxa"/>
            <w:gridSpan w:val="8"/>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pPr>
            <w:r>
              <w:rPr/>
              <w:t>​</w:t>
            </w:r>
          </w:p>
        </w:tc>
      </w:tr>
      <w:tr>
        <w:trPr/>
        <w:tc>
          <w:tcPr>
            <w:tcW w:w="14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Real Estate</w:t>
            </w:r>
          </w:p>
        </w:tc>
        <w:tc>
          <w:tcPr>
            <w:tcW w:w="326" w:type="dxa"/>
            <w:tcBorders/>
            <w:shd w:fill="auto" w:val="clear"/>
            <w:vAlign w:val="center"/>
          </w:tcPr>
          <w:p>
            <w:pPr>
              <w:pStyle w:val="TableContents"/>
              <w:spacing w:before="0" w:after="0"/>
              <w:ind w:left="0" w:right="0" w:hanging="0"/>
              <w:rPr/>
            </w:pPr>
            <w:r>
              <w:rPr/>
              <w:t>    </w:t>
            </w:r>
          </w:p>
        </w:tc>
        <w:tc>
          <w:tcPr>
            <w:tcW w:w="100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247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1456"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w:t>
            </w:r>
          </w:p>
        </w:tc>
        <w:tc>
          <w:tcPr>
            <w:tcW w:w="326" w:type="dxa"/>
            <w:tcBorders/>
            <w:shd w:fill="CCEEFF" w:val="clear"/>
            <w:vAlign w:val="center"/>
          </w:tcPr>
          <w:p>
            <w:pPr>
              <w:pStyle w:val="TableContents"/>
              <w:spacing w:before="0" w:after="0"/>
              <w:ind w:left="0" w:right="0" w:hanging="0"/>
              <w:rPr/>
            </w:pPr>
            <w:r>
              <w:rPr/>
              <w:t>​</w:t>
            </w:r>
          </w:p>
        </w:tc>
        <w:tc>
          <w:tcPr>
            <w:tcW w:w="24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37,682</w:t>
            </w:r>
          </w:p>
        </w:tc>
        <w:tc>
          <w:tcPr>
            <w:tcW w:w="326"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38,012</w:t>
            </w:r>
          </w:p>
        </w:tc>
        <w:tc>
          <w:tcPr>
            <w:tcW w:w="326" w:type="dxa"/>
            <w:tcBorders/>
            <w:shd w:fill="CCEEFF" w:val="clear"/>
            <w:vAlign w:val="center"/>
          </w:tcPr>
          <w:p>
            <w:pPr>
              <w:pStyle w:val="TableContents"/>
              <w:spacing w:before="0" w:after="0"/>
              <w:ind w:left="0" w:right="0" w:hanging="0"/>
              <w:rPr/>
            </w:pPr>
            <w:r>
              <w:rPr/>
              <w:t>​</w:t>
            </w:r>
          </w:p>
        </w:tc>
        <w:tc>
          <w:tcPr>
            <w:tcW w:w="247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r>
      <w:tr>
        <w:trPr/>
        <w:tc>
          <w:tcPr>
            <w:tcW w:w="1456" w:type="dxa"/>
            <w:tcBorders/>
            <w:shd w:fill="auto"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leases</w:t>
            </w:r>
          </w:p>
        </w:tc>
        <w:tc>
          <w:tcPr>
            <w:tcW w:w="326" w:type="dxa"/>
            <w:tcBorders/>
            <w:shd w:fill="auto" w:val="clear"/>
            <w:vAlign w:val="center"/>
          </w:tcPr>
          <w:p>
            <w:pPr>
              <w:pStyle w:val="TableContents"/>
              <w:spacing w:before="0" w:after="0"/>
              <w:ind w:left="0" w:right="0" w:hanging="0"/>
              <w:rPr/>
            </w:pPr>
            <w:r>
              <w:rPr/>
              <w:t>​</w:t>
            </w:r>
          </w:p>
        </w:tc>
        <w:tc>
          <w:tcPr>
            <w:tcW w:w="242" w:type="dxa"/>
            <w:tcBorders/>
            <w:shd w:fill="auto" w:val="clear"/>
            <w:vAlign w:val="center"/>
          </w:tcPr>
          <w:p>
            <w:pPr>
              <w:pStyle w:val="TableContents"/>
              <w:spacing w:before="0" w:after="0"/>
              <w:ind w:left="0" w:right="0" w:hanging="0"/>
              <w:jc w:val="right"/>
              <w:rPr/>
            </w:pPr>
            <w:r>
              <w:rPr/>
              <w:t> </w:t>
            </w:r>
          </w:p>
        </w:tc>
        <w:tc>
          <w:tcPr>
            <w:tcW w:w="779"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1" w:type="dxa"/>
            <w:tcBorders/>
            <w:shd w:fill="auto" w:val="clear"/>
            <w:vAlign w:val="center"/>
          </w:tcPr>
          <w:p>
            <w:pPr>
              <w:pStyle w:val="TableContents"/>
              <w:spacing w:before="0" w:after="0"/>
              <w:ind w:left="0" w:right="0" w:hanging="0"/>
              <w:rPr/>
            </w:pPr>
            <w:r>
              <w:rPr/>
              <w:t> </w:t>
            </w:r>
          </w:p>
        </w:tc>
        <w:tc>
          <w:tcPr>
            <w:tcW w:w="73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1,598</w:t>
            </w:r>
          </w:p>
        </w:tc>
        <w:tc>
          <w:tcPr>
            <w:tcW w:w="326" w:type="dxa"/>
            <w:tcBorders/>
            <w:shd w:fill="auto" w:val="clear"/>
            <w:vAlign w:val="center"/>
          </w:tcPr>
          <w:p>
            <w:pPr>
              <w:pStyle w:val="TableContents"/>
              <w:spacing w:before="0" w:after="0"/>
              <w:ind w:left="0" w:right="0" w:hanging="0"/>
              <w:rPr/>
            </w:pPr>
            <w:r>
              <w:rPr/>
              <w:t>​</w:t>
            </w:r>
          </w:p>
        </w:tc>
        <w:tc>
          <w:tcPr>
            <w:tcW w:w="247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 net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Operating and finance lease liabilities recognized in the Company’s condensed consolidated balance sheets were as follows at:</w:t>
      </w:r>
    </w:p>
    <w:p>
      <w:pPr>
        <w:pStyle w:val="TextBody"/>
        <w:spacing w:before="0" w:after="0"/>
        <w:ind w:left="0" w:right="0" w:firstLine="720"/>
        <w:jc w:val="both"/>
        <w:rPr/>
      </w:pPr>
      <w:r>
        <w:rPr/>
        <w:t>​</w:t>
      </w:r>
    </w:p>
    <w:tbl>
      <w:tblPr>
        <w:tblW w:w="5155" w:type="dxa"/>
        <w:jc w:val="left"/>
        <w:tblInd w:w="0" w:type="dxa"/>
        <w:tblCellMar>
          <w:top w:w="0" w:type="dxa"/>
          <w:left w:w="0" w:type="dxa"/>
          <w:bottom w:w="0" w:type="dxa"/>
          <w:right w:w="0" w:type="dxa"/>
        </w:tblCellMar>
      </w:tblPr>
      <w:tblGrid>
        <w:gridCol w:w="1621"/>
        <w:gridCol w:w="326"/>
        <w:gridCol w:w="357"/>
        <w:gridCol w:w="1144"/>
        <w:gridCol w:w="326"/>
        <w:gridCol w:w="328"/>
        <w:gridCol w:w="1053"/>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029335" cy="175260"/>
                      <wp:effectExtent l="0" t="0" r="0" b="0"/>
                      <wp:wrapNone/>
                      <wp:docPr id="145" name="Frame145"/>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26695" cy="175260"/>
                      <wp:effectExtent l="0" t="0" r="0" b="0"/>
                      <wp:wrapNone/>
                      <wp:docPr id="147" name="Frame147"/>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26440" cy="175260"/>
                      <wp:effectExtent l="0" t="0" r="0" b="0"/>
                      <wp:wrapNone/>
                      <wp:docPr id="148" name="Frame148"/>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8280" cy="175260"/>
                      <wp:effectExtent l="0" t="0" r="0" b="0"/>
                      <wp:wrapNone/>
                      <wp:docPr id="150" name="Frame150"/>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68655" cy="175260"/>
                      <wp:effectExtent l="0" t="0" r="0" b="0"/>
                      <wp:wrapNone/>
                      <wp:docPr id="151" name="Frame151"/>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621" w:type="dxa"/>
            <w:tcBorders/>
            <w:shd w:fill="CCEEFF" w:val="clear"/>
            <w:vAlign w:val="center"/>
          </w:tcPr>
          <w:p>
            <w:pPr>
              <w:pStyle w:val="TableContents"/>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7,642</w:t>
            </w:r>
          </w:p>
        </w:tc>
        <w:tc>
          <w:tcPr>
            <w:tcW w:w="326"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2,393</w:t>
            </w:r>
          </w:p>
        </w:tc>
      </w:tr>
      <w:tr>
        <w:trPr/>
        <w:tc>
          <w:tcPr>
            <w:tcW w:w="1621" w:type="dxa"/>
            <w:tcBorders/>
            <w:shd w:fill="auto" w:val="clear"/>
            <w:vAlign w:val="center"/>
          </w:tcPr>
          <w:p>
            <w:pPr>
              <w:pStyle w:val="TableContents"/>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27,958</w:t>
            </w:r>
          </w:p>
        </w:tc>
        <w:tc>
          <w:tcPr>
            <w:tcW w:w="326"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162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35,600</w:t>
            </w:r>
          </w:p>
        </w:tc>
        <w:tc>
          <w:tcPr>
            <w:tcW w:w="326"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2,426</w:t>
            </w:r>
          </w:p>
        </w:tc>
      </w:tr>
    </w:tbl>
    <w:p>
      <w:pPr>
        <w:pStyle w:val="TextBody"/>
        <w:spacing w:before="0" w:after="0"/>
        <w:ind w:left="0" w:right="0" w:hanging="0"/>
        <w:rPr/>
      </w:pPr>
      <w:r>
        <w:rPr/>
        <w:t>​</w:t>
      </w:r>
    </w:p>
    <w:tbl>
      <w:tblPr>
        <w:tblW w:w="5155" w:type="dxa"/>
        <w:jc w:val="left"/>
        <w:tblInd w:w="0" w:type="dxa"/>
        <w:tblCellMar>
          <w:top w:w="0" w:type="dxa"/>
          <w:left w:w="0" w:type="dxa"/>
          <w:bottom w:w="0" w:type="dxa"/>
          <w:right w:w="0" w:type="dxa"/>
        </w:tblCellMar>
      </w:tblPr>
      <w:tblGrid>
        <w:gridCol w:w="1621"/>
        <w:gridCol w:w="326"/>
        <w:gridCol w:w="357"/>
        <w:gridCol w:w="1144"/>
        <w:gridCol w:w="326"/>
        <w:gridCol w:w="395"/>
        <w:gridCol w:w="986"/>
      </w:tblGrid>
      <w:tr>
        <w:trPr/>
        <w:tc>
          <w:tcPr>
            <w:tcW w:w="16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1029335" cy="175260"/>
                      <wp:effectExtent l="0" t="0" r="0" b="0"/>
                      <wp:wrapNone/>
                      <wp:docPr id="152" name="Frame152"/>
                      <a:graphic xmlns:a="http://schemas.openxmlformats.org/drawingml/2006/main">
                        <a:graphicData uri="http://schemas.microsoft.com/office/word/2010/wordprocessingShape">
                          <wps:wsp>
                            <wps:cNvSpPr txBox="1"/>
                            <wps:spPr>
                              <a:xfrm>
                                <a:off x="0" y="0"/>
                                <a:ext cx="1029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6695" cy="175260"/>
                      <wp:effectExtent l="0" t="0" r="0" b="0"/>
                      <wp:wrapNone/>
                      <wp:docPr id="154" name="Frame154"/>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726440" cy="175260"/>
                      <wp:effectExtent l="0" t="0" r="0" b="0"/>
                      <wp:wrapNone/>
                      <wp:docPr id="155" name="Frame155"/>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9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50825" cy="175260"/>
                      <wp:effectExtent l="0" t="0" r="0" b="0"/>
                      <wp:wrapNone/>
                      <wp:docPr id="157" name="Frame157"/>
                      <a:graphic xmlns:a="http://schemas.openxmlformats.org/drawingml/2006/main">
                        <a:graphicData uri="http://schemas.microsoft.com/office/word/2010/wordprocessingShape">
                          <wps:wsp>
                            <wps:cNvSpPr txBox="1"/>
                            <wps:spPr>
                              <a:xfrm>
                                <a:off x="0" y="0"/>
                                <a:ext cx="2508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26110" cy="175260"/>
                      <wp:effectExtent l="0" t="0" r="0" b="0"/>
                      <wp:wrapNone/>
                      <wp:docPr id="158" name="Frame158"/>
                      <a:graphic xmlns:a="http://schemas.openxmlformats.org/drawingml/2006/main">
                        <a:graphicData uri="http://schemas.microsoft.com/office/word/2010/wordprocessingShape">
                          <wps:wsp>
                            <wps:cNvSpPr txBox="1"/>
                            <wps:spPr>
                              <a:xfrm>
                                <a:off x="0" y="0"/>
                                <a:ext cx="626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08"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162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162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7,747</w:t>
            </w:r>
          </w:p>
        </w:tc>
        <w:tc>
          <w:tcPr>
            <w:tcW w:w="326" w:type="dxa"/>
            <w:tcBorders/>
            <w:shd w:fill="CCEEFF" w:val="clear"/>
            <w:vAlign w:val="center"/>
          </w:tcPr>
          <w:p>
            <w:pPr>
              <w:pStyle w:val="TableContents"/>
              <w:spacing w:before="0" w:after="0"/>
              <w:ind w:left="0" w:right="0" w:hanging="0"/>
              <w:rPr/>
            </w:pPr>
            <w:r>
              <w:rPr/>
              <w:t>​</w:t>
            </w:r>
          </w:p>
        </w:tc>
        <w:tc>
          <w:tcPr>
            <w:tcW w:w="39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757</w:t>
            </w:r>
          </w:p>
        </w:tc>
      </w:tr>
      <w:tr>
        <w:trPr/>
        <w:tc>
          <w:tcPr>
            <w:tcW w:w="162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29,586</w:t>
            </w:r>
          </w:p>
        </w:tc>
        <w:tc>
          <w:tcPr>
            <w:tcW w:w="326" w:type="dxa"/>
            <w:tcBorders/>
            <w:shd w:fill="auto" w:val="clear"/>
            <w:vAlign w:val="center"/>
          </w:tcPr>
          <w:p>
            <w:pPr>
              <w:pStyle w:val="TableContents"/>
              <w:spacing w:before="0" w:after="0"/>
              <w:ind w:left="0" w:right="0" w:hanging="0"/>
              <w:rPr/>
            </w:pPr>
            <w:r>
              <w:rPr/>
              <w:t>​</w:t>
            </w:r>
          </w:p>
        </w:tc>
        <w:tc>
          <w:tcPr>
            <w:tcW w:w="39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162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37,333</w:t>
            </w:r>
          </w:p>
        </w:tc>
        <w:tc>
          <w:tcPr>
            <w:tcW w:w="326" w:type="dxa"/>
            <w:tcBorders/>
            <w:shd w:fill="CCEEFF" w:val="clear"/>
            <w:vAlign w:val="center"/>
          </w:tcPr>
          <w:p>
            <w:pPr>
              <w:pStyle w:val="TableContents"/>
              <w:spacing w:before="0" w:after="0"/>
              <w:ind w:left="0" w:right="0" w:hanging="0"/>
              <w:rPr/>
            </w:pPr>
            <w:r>
              <w:rPr/>
              <w:t>​</w:t>
            </w:r>
          </w:p>
        </w:tc>
        <w:tc>
          <w:tcPr>
            <w:tcW w:w="39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798</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752" w:name="Tc_TRDCsC5he0uYhnKbsFXDzg_11_5"/>
      <w:bookmarkStart w:id="753" w:name="Tc_oF9kzosN1E-0t6OqqAEbqg_11_2"/>
      <w:bookmarkStart w:id="754" w:name="Tc_HR2RlRLubUmRF4GwNxb78A_11_0"/>
      <w:bookmarkStart w:id="755" w:name="Tc_f6BA8g7K5Eu4APXZXCFGbw_10_0"/>
      <w:bookmarkStart w:id="756" w:name="Tc_z5Z3v2t6m0-JGCNynpODkw_9_0"/>
      <w:bookmarkStart w:id="757" w:name="Tc_aZqwK2Q_H02vLpr2tg9jtA_8_0"/>
      <w:bookmarkStart w:id="758" w:name="Tc_KAFy1E_3QkWZ-tSgZQ3FDg_7_6"/>
      <w:bookmarkStart w:id="759" w:name="Tc_774A70iTkk6HWKxoZFZ7KA_7_0"/>
      <w:bookmarkStart w:id="760" w:name="Tc_75SPa8TFJk21bvSEpIuW7Q_6_0"/>
      <w:bookmarkStart w:id="761" w:name="Tc_-dQIaWFPvk6BlE8JejYCcw_5_0"/>
      <w:bookmarkStart w:id="762" w:name="Tc_YJN4X58dX0uuZ_LGMgRIdQ_4_0"/>
      <w:bookmarkStart w:id="763" w:name="Tc_NLdo-LRKa0m90cN_berEiw_3_5"/>
      <w:bookmarkStart w:id="764" w:name="Tc_cPASxUGfiEqFXWdXw5dMPQ_3_2"/>
      <w:bookmarkStart w:id="765" w:name="Tc_N7qeG4v1wkO27kLEpoIJTA_3_0"/>
      <w:bookmarkStart w:id="766" w:name="Tc_cKXaoeZKVUeFBlBUnBMvDQ_2_5"/>
      <w:bookmarkStart w:id="767" w:name="Tc_Dutc4tvRa0-L6gLxlYbabw_2_2"/>
      <w:bookmarkStart w:id="768" w:name="Tc_WiwVS7Cj1Uqbx_-eXSDCCg_1_2"/>
      <w:bookmarkStart w:id="769" w:name="_f09d4950_4819_4ec9_bf5d_bbd390ce0ca7"/>
      <w:bookmarkStart w:id="770" w:name="Tc_UUFpTzSUMUSBhIuT0vAVjg_4_5"/>
      <w:bookmarkStart w:id="771" w:name="Tc_eJMVsfUK30WToD0BHqR1-g_4_3"/>
      <w:bookmarkStart w:id="772" w:name="Tc_rW215CKMN0i9CyGlYZaJAg_4_0"/>
      <w:bookmarkStart w:id="773" w:name="Tc_ssE-nJQsRUC79eEVcMFmew_3_0"/>
      <w:bookmarkStart w:id="774" w:name="Tc_Vdj61jz8fUyKmSvDF56QiA_2_4"/>
      <w:bookmarkStart w:id="775" w:name="Tc_nJ0_052GAUK8wllJElKdgA_2_2"/>
      <w:bookmarkStart w:id="776" w:name="Tc_Kg2ReBNXjUqrAiHw2Y_shw_1_2"/>
      <w:bookmarkStart w:id="777" w:name="_258fb167_3296_426a_bd3d_4cd03059d199"/>
      <w:bookmarkStart w:id="778" w:name="Tc_NoRIMnYCNk62j3khn_y18A_4_5"/>
      <w:bookmarkStart w:id="779" w:name="Tc_FoD3CvhehEqFCiTutjKB0Q_4_3"/>
      <w:bookmarkStart w:id="780" w:name="Tc_9hJNnRLkzku6hjSk9Q3OqQ_4_0"/>
      <w:bookmarkStart w:id="781" w:name="Tc_ZKSaF6iyl0q6fuGYwPcvFA_3_0"/>
      <w:bookmarkStart w:id="782" w:name="Tc_VW7aHiHJS0mJ7NeuIxMhBw_2_4"/>
      <w:bookmarkStart w:id="783" w:name="Tc_L_p5Uf2U1kePrL0gHdQfbQ_2_2"/>
      <w:bookmarkStart w:id="784" w:name="Tc_9yOUlt1omkK2EiSb0PxC5A_1_2"/>
      <w:bookmarkStart w:id="785" w:name="_a50aab39_4848_47b5_bed5_5d1eb27bbd9d"/>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sz w:val="20"/>
        </w:rPr>
        <w:t>The weighted-average remaining lease terms and weighted-average discount rates for operating and finance leases at March 31, 2023 and December 31, 2022 were as follows:</w:t>
      </w:r>
    </w:p>
    <w:p>
      <w:pPr>
        <w:pStyle w:val="TextBody"/>
        <w:spacing w:before="0" w:after="0"/>
        <w:ind w:left="0" w:right="0" w:firstLine="720"/>
        <w:jc w:val="both"/>
        <w:rPr/>
      </w:pPr>
      <w:r>
        <w:rPr/>
        <w:t>​</w:t>
      </w:r>
    </w:p>
    <w:tbl>
      <w:tblPr>
        <w:tblW w:w="7756" w:type="dxa"/>
        <w:jc w:val="left"/>
        <w:tblInd w:w="0" w:type="dxa"/>
        <w:tblCellMar>
          <w:top w:w="0" w:type="dxa"/>
          <w:left w:w="0" w:type="dxa"/>
          <w:bottom w:w="0" w:type="dxa"/>
          <w:right w:w="0" w:type="dxa"/>
        </w:tblCellMar>
      </w:tblPr>
      <w:tblGrid>
        <w:gridCol w:w="3916"/>
        <w:gridCol w:w="326"/>
        <w:gridCol w:w="1501"/>
        <w:gridCol w:w="361"/>
        <w:gridCol w:w="1336"/>
        <w:gridCol w:w="31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486660" cy="175260"/>
                      <wp:effectExtent l="0" t="0" r="0" b="0"/>
                      <wp:wrapNone/>
                      <wp:docPr id="159" name="Frame159"/>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953135" cy="175260"/>
                      <wp:effectExtent l="0" t="0" r="0" b="0"/>
                      <wp:wrapNone/>
                      <wp:docPr id="161" name="Frame161"/>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29235" cy="175260"/>
                      <wp:effectExtent l="0" t="0" r="0" b="0"/>
                      <wp:wrapNone/>
                      <wp:docPr id="162" name="Frame16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848360" cy="175260"/>
                      <wp:effectExtent l="0" t="0" r="0" b="0"/>
                      <wp:wrapNone/>
                      <wp:docPr id="163" name="Frame163"/>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0660" cy="175260"/>
                      <wp:effectExtent l="0" t="0" r="0" b="0"/>
                      <wp:wrapNone/>
                      <wp:docPr id="164" name="Frame164"/>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61"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c>
          <w:tcPr>
            <w:tcW w:w="316" w:type="dxa"/>
            <w:tcBorders/>
            <w:shd w:fill="auto" w:val="clear"/>
            <w:vAlign w:val="center"/>
          </w:tcPr>
          <w:p>
            <w:pPr>
              <w:pStyle w:val="TableContents"/>
              <w:spacing w:before="0" w:after="0"/>
              <w:ind w:left="0" w:right="0" w:hanging="0"/>
              <w:rPr/>
            </w:pPr>
            <w:r>
              <w:rPr/>
              <w:t> </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spacing w:before="0" w:after="0"/>
              <w:ind w:left="0" w:right="0" w:hanging="0"/>
              <w:rPr/>
            </w:pPr>
            <w:r>
              <w:rPr/>
              <w:t> </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0.9</w:t>
            </w:r>
          </w:p>
        </w:tc>
        <w:tc>
          <w:tcPr>
            <w:tcW w:w="316"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pBdr/>
        <w:spacing w:before="0" w:after="0"/>
        <w:ind w:left="0" w:right="0" w:hanging="720"/>
        <w:rPr/>
      </w:pPr>
      <w:r>
        <w:rPr/>
        <w:t>​</w:t>
      </w:r>
    </w:p>
    <w:tbl>
      <w:tblPr>
        <w:tblW w:w="7756" w:type="dxa"/>
        <w:jc w:val="left"/>
        <w:tblInd w:w="0" w:type="dxa"/>
        <w:tblCellMar>
          <w:top w:w="0" w:type="dxa"/>
          <w:left w:w="0" w:type="dxa"/>
          <w:bottom w:w="0" w:type="dxa"/>
          <w:right w:w="0" w:type="dxa"/>
        </w:tblCellMar>
      </w:tblPr>
      <w:tblGrid>
        <w:gridCol w:w="3916"/>
        <w:gridCol w:w="326"/>
        <w:gridCol w:w="1501"/>
        <w:gridCol w:w="361"/>
        <w:gridCol w:w="1336"/>
        <w:gridCol w:w="316"/>
      </w:tblGrid>
      <w:tr>
        <w:trPr/>
        <w:tc>
          <w:tcPr>
            <w:tcW w:w="39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486660" cy="175260"/>
                      <wp:effectExtent l="0" t="0" r="0" b="0"/>
                      <wp:wrapNone/>
                      <wp:docPr id="165" name="Frame165"/>
                      <a:graphic xmlns:a="http://schemas.openxmlformats.org/drawingml/2006/main">
                        <a:graphicData uri="http://schemas.microsoft.com/office/word/2010/wordprocessingShape">
                          <wps:wsp>
                            <wps:cNvSpPr txBox="1"/>
                            <wps:spPr>
                              <a:xfrm>
                                <a:off x="0" y="0"/>
                                <a:ext cx="2486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5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953135" cy="175260"/>
                      <wp:effectExtent l="0" t="0" r="0" b="0"/>
                      <wp:wrapNone/>
                      <wp:docPr id="167" name="Frame167"/>
                      <a:graphic xmlns:a="http://schemas.openxmlformats.org/drawingml/2006/main">
                        <a:graphicData uri="http://schemas.microsoft.com/office/word/2010/wordprocessingShape">
                          <wps:wsp>
                            <wps:cNvSpPr txBox="1"/>
                            <wps:spPr>
                              <a:xfrm>
                                <a:off x="0" y="0"/>
                                <a:ext cx="953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29235" cy="175260"/>
                      <wp:effectExtent l="0" t="0" r="0" b="0"/>
                      <wp:wrapNone/>
                      <wp:docPr id="168" name="Frame168"/>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848360" cy="175260"/>
                      <wp:effectExtent l="0" t="0" r="0" b="0"/>
                      <wp:wrapNone/>
                      <wp:docPr id="169" name="Frame169"/>
                      <a:graphic xmlns:a="http://schemas.openxmlformats.org/drawingml/2006/main">
                        <a:graphicData uri="http://schemas.microsoft.com/office/word/2010/wordprocessingShape">
                          <wps:wsp>
                            <wps:cNvSpPr txBox="1"/>
                            <wps:spPr>
                              <a:xfrm>
                                <a:off x="0" y="0"/>
                                <a:ext cx="8483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0660" cy="175260"/>
                      <wp:effectExtent l="0" t="0" r="0" b="0"/>
                      <wp:wrapNone/>
                      <wp:docPr id="170" name="Frame170"/>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198"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361" w:type="dxa"/>
            <w:tcBorders/>
            <w:shd w:fill="auto" w:val="clear"/>
            <w:vAlign w:val="center"/>
          </w:tcPr>
          <w:p>
            <w:pPr>
              <w:pStyle w:val="TableContents"/>
              <w:spacing w:before="0" w:after="0"/>
              <w:ind w:left="0" w:right="0" w:hanging="0"/>
              <w:rPr/>
            </w:pPr>
            <w:r>
              <w:rPr/>
              <w:t>    </w:t>
            </w:r>
          </w:p>
        </w:tc>
        <w:tc>
          <w:tcPr>
            <w:tcW w:w="13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c>
          <w:tcPr>
            <w:tcW w:w="316" w:type="dxa"/>
            <w:tcBorders/>
            <w:shd w:fill="auto" w:val="clear"/>
            <w:vAlign w:val="center"/>
          </w:tcPr>
          <w:p>
            <w:pPr>
              <w:pStyle w:val="TableContents"/>
              <w:spacing w:before="0" w:after="0"/>
              <w:ind w:left="0" w:right="0" w:hanging="0"/>
              <w:rPr/>
            </w:pPr>
            <w:r>
              <w:rPr/>
              <w:t>​</w:t>
            </w:r>
          </w:p>
        </w:tc>
      </w:tr>
      <w:tr>
        <w:trPr/>
        <w:tc>
          <w:tcPr>
            <w:tcW w:w="391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Weighted-average remaining lease term (years)</w:t>
            </w:r>
          </w:p>
        </w:tc>
        <w:tc>
          <w:tcPr>
            <w:tcW w:w="326" w:type="dxa"/>
            <w:tcBorders/>
            <w:shd w:fill="CCEEFF" w:val="clear"/>
            <w:vAlign w:val="center"/>
          </w:tcPr>
          <w:p>
            <w:pPr>
              <w:pStyle w:val="TableContents"/>
              <w:spacing w:before="0" w:after="0"/>
              <w:ind w:left="0" w:right="0" w:hanging="0"/>
              <w:rPr/>
            </w:pPr>
            <w:r>
              <w:rPr/>
              <w:t> </w:t>
            </w:r>
          </w:p>
        </w:tc>
        <w:tc>
          <w:tcPr>
            <w:tcW w:w="15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61" w:type="dxa"/>
            <w:tcBorders/>
            <w:shd w:fill="CCEEFF" w:val="clear"/>
            <w:vAlign w:val="center"/>
          </w:tcPr>
          <w:p>
            <w:pPr>
              <w:pStyle w:val="TableContents"/>
              <w:spacing w:before="0" w:after="0"/>
              <w:ind w:left="0" w:right="0" w:hanging="0"/>
              <w:rPr/>
            </w:pPr>
            <w:r>
              <w:rPr/>
              <w:t>​</w:t>
            </w:r>
          </w:p>
        </w:tc>
        <w:tc>
          <w:tcPr>
            <w:tcW w:w="13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0.8</w:t>
            </w:r>
          </w:p>
        </w:tc>
        <w:tc>
          <w:tcPr>
            <w:tcW w:w="316" w:type="dxa"/>
            <w:tcBorders/>
            <w:shd w:fill="CCEEFF" w:val="clear"/>
            <w:vAlign w:val="center"/>
          </w:tcPr>
          <w:p>
            <w:pPr>
              <w:pStyle w:val="TableContents"/>
              <w:spacing w:before="0" w:after="0"/>
              <w:ind w:left="0" w:right="0" w:hanging="0"/>
              <w:rPr/>
            </w:pPr>
            <w:r>
              <w:rPr/>
              <w:t>​</w:t>
            </w:r>
          </w:p>
        </w:tc>
      </w:tr>
      <w:tr>
        <w:trPr/>
        <w:tc>
          <w:tcPr>
            <w:tcW w:w="391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Weighted-average discount rate</w:t>
            </w:r>
          </w:p>
        </w:tc>
        <w:tc>
          <w:tcPr>
            <w:tcW w:w="326" w:type="dxa"/>
            <w:tcBorders/>
            <w:shd w:fill="auto" w:val="clear"/>
            <w:vAlign w:val="center"/>
          </w:tcPr>
          <w:p>
            <w:pPr>
              <w:pStyle w:val="TableContents"/>
              <w:spacing w:before="0" w:after="0"/>
              <w:ind w:left="0" w:right="0" w:hanging="0"/>
              <w:rPr/>
            </w:pPr>
            <w:r>
              <w:rPr/>
              <w:t> </w:t>
            </w:r>
          </w:p>
        </w:tc>
        <w:tc>
          <w:tcPr>
            <w:tcW w:w="15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3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undiscounted future lease payments for operating and finance leases to the operating and finance leases recorded in the Company’s condensed consolidated balance sheet at March 31, 2023:</w:t>
      </w:r>
    </w:p>
    <w:p>
      <w:pPr>
        <w:pStyle w:val="TextBody"/>
        <w:spacing w:before="0" w:after="0"/>
        <w:ind w:left="0" w:right="0" w:firstLine="720"/>
        <w:jc w:val="both"/>
        <w:rPr/>
      </w:pPr>
      <w:r>
        <w:rPr/>
        <w:t>​</w:t>
      </w:r>
    </w:p>
    <w:tbl>
      <w:tblPr>
        <w:tblW w:w="7736" w:type="dxa"/>
        <w:jc w:val="left"/>
        <w:tblInd w:w="0" w:type="dxa"/>
        <w:tblCellMar>
          <w:top w:w="0" w:type="dxa"/>
          <w:left w:w="0" w:type="dxa"/>
          <w:bottom w:w="0" w:type="dxa"/>
          <w:right w:w="0" w:type="dxa"/>
        </w:tblCellMar>
      </w:tblPr>
      <w:tblGrid>
        <w:gridCol w:w="4036"/>
        <w:gridCol w:w="326"/>
        <w:gridCol w:w="357"/>
        <w:gridCol w:w="1144"/>
        <w:gridCol w:w="492"/>
        <w:gridCol w:w="328"/>
        <w:gridCol w:w="1053"/>
      </w:tblGrid>
      <w:tr>
        <w:trPr/>
        <w:tc>
          <w:tcPr>
            <w:tcW w:w="4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562860" cy="175260"/>
                      <wp:effectExtent l="0" t="0" r="0" b="0"/>
                      <wp:wrapNone/>
                      <wp:docPr id="171" name="Frame171"/>
                      <a:graphic xmlns:a="http://schemas.openxmlformats.org/drawingml/2006/main">
                        <a:graphicData uri="http://schemas.microsoft.com/office/word/2010/wordprocessingShape">
                          <wps:wsp>
                            <wps:cNvSpPr txBox="1"/>
                            <wps:spPr>
                              <a:xfrm>
                                <a:off x="0" y="0"/>
                                <a:ext cx="2562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26695" cy="175260"/>
                      <wp:effectExtent l="0" t="0" r="0" b="0"/>
                      <wp:wrapNone/>
                      <wp:docPr id="173" name="Frame173"/>
                      <a:graphic xmlns:a="http://schemas.openxmlformats.org/drawingml/2006/main">
                        <a:graphicData uri="http://schemas.microsoft.com/office/word/2010/wordprocessingShape">
                          <wps:wsp>
                            <wps:cNvSpPr txBox="1"/>
                            <wps:spPr>
                              <a:xfrm>
                                <a:off x="0" y="0"/>
                                <a:ext cx="226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4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26440" cy="175260"/>
                      <wp:effectExtent l="0" t="0" r="0" b="0"/>
                      <wp:wrapNone/>
                      <wp:docPr id="174" name="Frame174"/>
                      <a:graphic xmlns:a="http://schemas.openxmlformats.org/drawingml/2006/main">
                        <a:graphicData uri="http://schemas.microsoft.com/office/word/2010/wordprocessingShape">
                          <wps:wsp>
                            <wps:cNvSpPr txBox="1"/>
                            <wps:spPr>
                              <a:xfrm>
                                <a:off x="0" y="0"/>
                                <a:ext cx="7264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12420" cy="175260"/>
                      <wp:effectExtent l="0" t="0" r="0" b="0"/>
                      <wp:wrapNone/>
                      <wp:docPr id="175" name="Frame175"/>
                      <a:graphic xmlns:a="http://schemas.openxmlformats.org/drawingml/2006/main">
                        <a:graphicData uri="http://schemas.microsoft.com/office/word/2010/wordprocessingShape">
                          <wps:wsp>
                            <wps:cNvSpPr txBox="1"/>
                            <wps:spPr>
                              <a:xfrm>
                                <a:off x="0" y="0"/>
                                <a:ext cx="3124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8280" cy="175260"/>
                      <wp:effectExtent l="0" t="0" r="0" b="0"/>
                      <wp:wrapNone/>
                      <wp:docPr id="176" name="Frame176"/>
                      <a:graphic xmlns:a="http://schemas.openxmlformats.org/drawingml/2006/main">
                        <a:graphicData uri="http://schemas.microsoft.com/office/word/2010/wordprocessingShape">
                          <wps:wsp>
                            <wps:cNvSpPr txBox="1"/>
                            <wps:spPr>
                              <a:xfrm>
                                <a:off x="0" y="0"/>
                                <a:ext cx="2082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68655" cy="175260"/>
                      <wp:effectExtent l="0" t="0" r="0" b="0"/>
                      <wp:wrapNone/>
                      <wp:docPr id="177" name="Frame177"/>
                      <a:graphic xmlns:a="http://schemas.openxmlformats.org/drawingml/2006/main">
                        <a:graphicData uri="http://schemas.microsoft.com/office/word/2010/wordprocessingShape">
                          <wps:wsp>
                            <wps:cNvSpPr txBox="1"/>
                            <wps:spPr>
                              <a:xfrm>
                                <a:off x="0" y="0"/>
                                <a:ext cx="668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37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Undiscounted Future Lease Payments</w:t>
            </w:r>
          </w:p>
        </w:tc>
      </w:tr>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5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Operating Leases</w:t>
            </w:r>
          </w:p>
        </w:tc>
        <w:tc>
          <w:tcPr>
            <w:tcW w:w="492"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Finance Leases</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2023 (from April 1, 2023 to December 31, 2023)</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6,626</w:t>
            </w:r>
          </w:p>
        </w:tc>
        <w:tc>
          <w:tcPr>
            <w:tcW w:w="492"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2,051</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7,469</w:t>
            </w:r>
          </w:p>
        </w:tc>
        <w:tc>
          <w:tcPr>
            <w:tcW w:w="492"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0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423</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5,318</w:t>
            </w:r>
          </w:p>
        </w:tc>
        <w:tc>
          <w:tcPr>
            <w:tcW w:w="492"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357" w:type="dxa"/>
            <w:tcBorders/>
            <w:shd w:fill="auto" w:val="clear"/>
            <w:vAlign w:val="center"/>
          </w:tcPr>
          <w:p>
            <w:pPr>
              <w:pStyle w:val="TableContents"/>
              <w:spacing w:before="0" w:after="0"/>
              <w:ind w:left="0" w:right="0" w:hanging="0"/>
              <w:rPr/>
            </w:pPr>
            <w:r>
              <w:rPr/>
              <w:t> </w:t>
            </w:r>
          </w:p>
        </w:tc>
        <w:tc>
          <w:tcPr>
            <w:tcW w:w="114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492" w:type="dxa"/>
            <w:tcBorders/>
            <w:shd w:fill="auto" w:val="clear"/>
            <w:vAlign w:val="center"/>
          </w:tcPr>
          <w:p>
            <w:pPr>
              <w:pStyle w:val="TableContents"/>
              <w:spacing w:before="0" w:after="0"/>
              <w:ind w:left="0" w:right="0" w:hanging="0"/>
              <w:rPr/>
            </w:pPr>
            <w:r>
              <w:rPr/>
              <w:t>​</w:t>
            </w:r>
          </w:p>
        </w:tc>
        <w:tc>
          <w:tcPr>
            <w:tcW w:w="328" w:type="dxa"/>
            <w:tcBorders/>
            <w:shd w:fill="auto" w:val="clear"/>
            <w:vAlign w:val="center"/>
          </w:tcPr>
          <w:p>
            <w:pPr>
              <w:pStyle w:val="TableContents"/>
              <w:spacing w:before="0" w:after="0"/>
              <w:ind w:left="0" w:right="0" w:hanging="0"/>
              <w:rPr/>
            </w:pPr>
            <w:r>
              <w:rPr/>
              <w:t> </w:t>
            </w:r>
          </w:p>
        </w:tc>
        <w:tc>
          <w:tcPr>
            <w:tcW w:w="105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492"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w:t>
            </w:r>
          </w:p>
        </w:tc>
        <w:tc>
          <w:tcPr>
            <w:tcW w:w="1053" w:type="dxa"/>
            <w:tcBorders/>
            <w:shd w:fill="CCEEFF" w:val="clear"/>
            <w:vAlign w:val="center"/>
          </w:tcPr>
          <w:p>
            <w:pPr>
              <w:pStyle w:val="TableContents"/>
              <w:spacing w:before="0" w:after="0"/>
              <w:ind w:left="0" w:right="0" w:hanging="0"/>
              <w:jc w:val="right"/>
              <w:rPr/>
            </w:pPr>
            <w:r>
              <w:rPr/>
              <w:t>—</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12,352</w:t>
            </w:r>
          </w:p>
        </w:tc>
        <w:tc>
          <w:tcPr>
            <w:tcW w:w="492"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3"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lease payments</w:t>
            </w:r>
          </w:p>
        </w:tc>
        <w:tc>
          <w:tcPr>
            <w:tcW w:w="326" w:type="dxa"/>
            <w:tcBorders/>
            <w:shd w:fill="CCEEFF" w:val="clear"/>
            <w:vAlign w:val="center"/>
          </w:tcPr>
          <w:p>
            <w:pPr>
              <w:pStyle w:val="TableContents"/>
              <w:spacing w:before="0" w:after="0"/>
              <w:ind w:left="0" w:right="0" w:hanging="0"/>
              <w:rPr/>
            </w:pPr>
            <w:r>
              <w:rPr/>
              <w:t>​</w:t>
            </w:r>
          </w:p>
        </w:tc>
        <w:tc>
          <w:tcPr>
            <w:tcW w:w="357" w:type="dxa"/>
            <w:tcBorders/>
            <w:shd w:fill="CCEEFF" w:val="clear"/>
            <w:vAlign w:val="center"/>
          </w:tcPr>
          <w:p>
            <w:pPr>
              <w:pStyle w:val="TableContents"/>
              <w:spacing w:before="0" w:after="0"/>
              <w:ind w:left="0" w:right="0" w:hanging="0"/>
              <w:rPr/>
            </w:pPr>
            <w:r>
              <w:rPr/>
              <w:t> </w:t>
            </w:r>
          </w:p>
        </w:tc>
        <w:tc>
          <w:tcPr>
            <w:tcW w:w="114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40,005</w:t>
            </w:r>
          </w:p>
        </w:tc>
        <w:tc>
          <w:tcPr>
            <w:tcW w:w="492" w:type="dxa"/>
            <w:tcBorders/>
            <w:shd w:fill="CCEEFF" w:val="clear"/>
            <w:vAlign w:val="center"/>
          </w:tcPr>
          <w:p>
            <w:pPr>
              <w:pStyle w:val="TableContents"/>
              <w:spacing w:before="0" w:after="0"/>
              <w:ind w:left="0" w:right="0" w:hanging="0"/>
              <w:rPr/>
            </w:pPr>
            <w:r>
              <w:rPr/>
              <w:t>​</w:t>
            </w:r>
          </w:p>
        </w:tc>
        <w:tc>
          <w:tcPr>
            <w:tcW w:w="328" w:type="dxa"/>
            <w:tcBorders/>
            <w:shd w:fill="CCEEFF" w:val="clear"/>
            <w:vAlign w:val="center"/>
          </w:tcPr>
          <w:p>
            <w:pPr>
              <w:pStyle w:val="TableContents"/>
              <w:spacing w:before="0" w:after="0"/>
              <w:ind w:left="0" w:right="0" w:hanging="0"/>
              <w:rPr/>
            </w:pPr>
            <w:r>
              <w:rPr/>
              <w:t> </w:t>
            </w:r>
          </w:p>
        </w:tc>
        <w:tc>
          <w:tcPr>
            <w:tcW w:w="105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auto" w:val="clear"/>
            <w:vAlign w:val="center"/>
          </w:tcPr>
          <w:p>
            <w:pPr>
              <w:pStyle w:val="TableContents"/>
              <w:spacing w:before="0" w:after="0"/>
              <w:ind w:left="0" w:right="0" w:hanging="0"/>
              <w:rPr/>
            </w:pPr>
            <w:r>
              <w:rPr/>
              <w:t>​</w:t>
            </w:r>
          </w:p>
        </w:tc>
        <w:tc>
          <w:tcPr>
            <w:tcW w:w="35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4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(4,405)</w:t>
            </w:r>
          </w:p>
        </w:tc>
        <w:tc>
          <w:tcPr>
            <w:tcW w:w="492" w:type="dxa"/>
            <w:tcBorders/>
            <w:shd w:fill="auto" w:val="clear"/>
            <w:vAlign w:val="center"/>
          </w:tcPr>
          <w:p>
            <w:pPr>
              <w:pStyle w:val="TableContents"/>
              <w:spacing w:before="0" w:after="0"/>
              <w:ind w:left="0" w:right="0" w:hanging="0"/>
              <w:rPr/>
            </w:pPr>
            <w:r>
              <w:rPr/>
              <w:t>​</w:t>
            </w:r>
          </w:p>
        </w:tc>
        <w:tc>
          <w:tcPr>
            <w:tcW w:w="328"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5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35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4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35,600</w:t>
            </w:r>
          </w:p>
        </w:tc>
        <w:tc>
          <w:tcPr>
            <w:tcW w:w="492" w:type="dxa"/>
            <w:tcBorders/>
            <w:shd w:fill="CCEEFF" w:val="clear"/>
            <w:vAlign w:val="center"/>
          </w:tcPr>
          <w:p>
            <w:pPr>
              <w:pStyle w:val="TableContents"/>
              <w:spacing w:before="0" w:after="0"/>
              <w:ind w:left="0" w:right="0" w:hanging="0"/>
              <w:rPr/>
            </w:pPr>
            <w:r>
              <w:rPr/>
              <w:t>​</w:t>
            </w:r>
          </w:p>
        </w:tc>
        <w:tc>
          <w:tcPr>
            <w:tcW w:w="328"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2,426</w:t>
            </w:r>
          </w:p>
        </w:tc>
      </w:tr>
    </w:tbl>
    <w:p>
      <w:pPr>
        <w:pStyle w:val="TextBody"/>
        <w:pBdr/>
        <w:spacing w:before="0" w:after="0"/>
        <w:ind w:left="0" w:right="0" w:hanging="72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As of March 31, 2023, the Company had an additional operating lease for office and warehouse space that had not yet commenced of $1.1 million in aggregate. This operating lease will commence in June 2023 with a term of four years. As of March 31, 2023, the Company did not have any significant additional finance leases that had not yet commenced.</w:t>
      </w:r>
    </w:p>
    <w:p>
      <w:pPr>
        <w:pStyle w:val="TextBody"/>
        <w:spacing w:before="0" w:after="0"/>
        <w:ind w:left="0" w:right="0" w:firstLine="720"/>
        <w:jc w:val="both"/>
        <w:rPr/>
      </w:pPr>
      <w:r>
        <w:rPr/>
        <w:t>​</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786" w:name="Tc_LZNjjbrvNEulw0WnlGI6VA_17_18"/>
      <w:bookmarkStart w:id="787" w:name="Tc_2HUFLQZIkkeBMOSEih9YbQ_17_17"/>
      <w:bookmarkStart w:id="788" w:name="Tc_CCx8txEWUEyQvEnsQovfyQ_17_14"/>
      <w:bookmarkStart w:id="789" w:name="Tc_mTdmTG7vJUqROHoXr9GJFw_17_11"/>
      <w:bookmarkStart w:id="790" w:name="Tc_F6uFMn2mNkCfFThM2U7Xag_17_8"/>
      <w:bookmarkStart w:id="791" w:name="Tc_FKOvoFHfIUOpQN6dBMHbZg_17_5"/>
      <w:bookmarkStart w:id="792" w:name="Tc_fAHxVtxROUCzvprm8NDYXQ_17_2"/>
      <w:bookmarkStart w:id="793" w:name="Tc_mb0EbZhfqkCykICSC8kFGA_17_0"/>
      <w:bookmarkStart w:id="794" w:name="Tc_Wr61fWsCb0G78zjxGSAW_A_16_18"/>
      <w:bookmarkStart w:id="795" w:name="Tc_TS26dfiWeEOYwQyoi-mS3g_16_15"/>
      <w:bookmarkStart w:id="796" w:name="Tc_RImaisVTXEy-3D_EjxF7DA_16_9"/>
      <w:bookmarkStart w:id="797" w:name="Tc_nLorJ_YdNkaXMfxrLY8Vgw_16_6"/>
      <w:bookmarkStart w:id="798" w:name="Tc_qJ-irrlIMUGZ7mNjNo6rDg_16_0"/>
      <w:bookmarkStart w:id="799" w:name="Tc_Ct1IS1hbtE2yIOWda90KeA_15_18"/>
      <w:bookmarkStart w:id="800" w:name="Tc_YHU7TwYT-kGAU-FlvC94Ig_15_0"/>
      <w:bookmarkStart w:id="801" w:name="Tc_pUwnFfVgcEGyhHtTP4JJhA_14_18"/>
      <w:bookmarkStart w:id="802" w:name="Tc_KJdUgKOopE-xHN0D0m_g7A_14_6"/>
      <w:bookmarkStart w:id="803" w:name="Tc_LAr_hr0DZEW0c1rv3gi47g_14_0"/>
      <w:bookmarkStart w:id="804" w:name="Tc_AGWrmxkDbkyI3Wxoq-uuQQ_13_0"/>
      <w:bookmarkStart w:id="805" w:name="Tc_f6PVwsBzw0eIAaqSNUO3VQ_12_18"/>
      <w:bookmarkStart w:id="806" w:name="Tc_gthAhKyckECjOnrjLrgr1Q_12_0"/>
      <w:bookmarkStart w:id="807" w:name="Tc_KFLEcfOlF0uJfCaJTXeN3Q_11_18"/>
      <w:bookmarkStart w:id="808" w:name="Tc_2X5uquuaIUKeomFYXShmvw_11_0"/>
      <w:bookmarkStart w:id="809" w:name="Tc_uj7ZxwjgN0qCLQqI4XuOaQ_10_18"/>
      <w:bookmarkStart w:id="810" w:name="Tc_3n1Xd72CJ0-J2FIkEv2i_g_10_0"/>
      <w:bookmarkStart w:id="811" w:name="Tc_Cl2t15a2TkC3KW9aioaT8g_9_18"/>
      <w:bookmarkStart w:id="812" w:name="Tc_1yUTMWxMvEGU7U7S_qsu5Q_9_15"/>
      <w:bookmarkStart w:id="813" w:name="Tc_rjUDqxO_ukG8uCSnLOh6GQ_9_9"/>
      <w:bookmarkStart w:id="814" w:name="Tc_cxP62nFHZkS04yYAwIyBGQ_9_6"/>
      <w:bookmarkStart w:id="815" w:name="Tc_5wPMUErRFki_EmCbYYbkOQ_9_0"/>
      <w:bookmarkStart w:id="816" w:name="Tc_6zEvzlYBn0OEJbggBk-0DQ_8_18"/>
      <w:bookmarkStart w:id="817" w:name="Tc_D4TdSmV9Fkmg2DcO7pZ6Vw_8_17"/>
      <w:bookmarkStart w:id="818" w:name="Tc_lGU2vI4lTEeAFW09T98lKw_8_14"/>
      <w:bookmarkStart w:id="819" w:name="Tc_uA9Nayvfvk6wOZjjXggrxw_8_11"/>
      <w:bookmarkStart w:id="820" w:name="Tc_MyKZCOeN0kS4QB8VEVaBig_8_8"/>
      <w:bookmarkStart w:id="821" w:name="Tc_sViBqb8u7UOaVs0JawA0rA_8_5"/>
      <w:bookmarkStart w:id="822" w:name="Tc_8CPnoW_pT0SNsrMfAPdfXw_8_2"/>
      <w:bookmarkStart w:id="823" w:name="Tc_Qa0vTZHD9EKehP7wJkL8-Q_8_0"/>
      <w:bookmarkStart w:id="824" w:name="Tc_bpq3497ZH0OkJFlS-qMf2g_7_0"/>
      <w:bookmarkStart w:id="825" w:name="Tc_moHkLCAdm0SbZg-lDlggXQ_6_0"/>
      <w:bookmarkStart w:id="826" w:name="Tc_z2XT0bPX8kiTs52sdMK8aw_5_17"/>
      <w:bookmarkStart w:id="827" w:name="Tc_LT9ljDieREaybSWJaxRjqw_5_14"/>
      <w:bookmarkStart w:id="828" w:name="Tc_PudI5AQkV0-wm5qVFhTZKg_5_11"/>
      <w:bookmarkStart w:id="829" w:name="Tc_SG4rUQdhyk2-YPWo-CforA_5_8"/>
      <w:bookmarkStart w:id="830" w:name="Tc_8alxqNp8fE2wWCv6kdH4UQ_5_5"/>
      <w:bookmarkStart w:id="831" w:name="Tc_XJaGxxNEYk2VEmC7Gkg0cQ_5_2"/>
      <w:bookmarkStart w:id="832" w:name="Tc_400pqVNqX02y_ha2P8zSSA_5_0"/>
      <w:bookmarkStart w:id="833" w:name="Tc_IhSkLPR3yEa2n-B4O_8Z1A_4_17"/>
      <w:bookmarkStart w:id="834" w:name="Tc_K1BAgcSznEa0-k90oZhB3A_4_14"/>
      <w:bookmarkStart w:id="835" w:name="Tc_6ivv5JDHRE-eQ1_y_PMFFA_4_11"/>
      <w:bookmarkStart w:id="836" w:name="Tc_EwNe-M-E1E6itPorwBt9-A_4_8"/>
      <w:bookmarkStart w:id="837" w:name="Tc_iFvjn808Jk-7lnzJZG5TGw_4_5"/>
      <w:bookmarkStart w:id="838" w:name="Tc_WRf65GkOj06POlu3nVrbdg_4_2"/>
      <w:bookmarkStart w:id="839" w:name="Tc_8WUH0aUvJEWRvVn-1WAGvg_3_17"/>
      <w:bookmarkStart w:id="840" w:name="Tc_LAjNvHuVOUqJ-Q42ARZAsw_3_14"/>
      <w:bookmarkStart w:id="841" w:name="Tc_BazSpQaSqU-gHsiZ1eFiUw_3_8"/>
      <w:bookmarkStart w:id="842" w:name="Tc_Z7sHICRBoU64Xpv5dwo0kw_3_5"/>
      <w:bookmarkStart w:id="843" w:name="Tc_sz1zXRmbE0-AgHNvusf7UQ_2_17"/>
      <w:bookmarkStart w:id="844" w:name="Tc_a7-lwUmuDEiYWXkQQlMzyw_2_14"/>
      <w:bookmarkStart w:id="845" w:name="Tc_OyaPwWtPSk2EOgrYsPjBPg_2_8"/>
      <w:bookmarkStart w:id="846" w:name="Tc_TcLivXdtLkSJofcyh20Bwg_2_5"/>
      <w:bookmarkStart w:id="847" w:name="Tc_4izT5NjuSUaEWodjfRLUpA_1_17"/>
      <w:bookmarkStart w:id="848" w:name="Tc_uhPCXT7FHk6nUHQQep23GQ_1_14"/>
      <w:bookmarkStart w:id="849" w:name="_70f6e449_0dc7_44d2_a9a5_90f16c5af2d1"/>
      <w:bookmarkStart w:id="850" w:name="Tc_oT_u5RmjBU-25Urn-JgvCg_18_18"/>
      <w:bookmarkStart w:id="851" w:name="Tc_RjrjpTx1wEWrlqtMdEiV3A_18_17"/>
      <w:bookmarkStart w:id="852" w:name="Tc_1ByGdui-pE-Idl9S6JDuYQ_18_14"/>
      <w:bookmarkStart w:id="853" w:name="Tc_UHcLZhmuwUK6JAC0zLlKlA_18_11"/>
      <w:bookmarkStart w:id="854" w:name="Tc_A7ycHm2DLkayVeyubtiMrg_18_8"/>
      <w:bookmarkStart w:id="855" w:name="Tc_COzNDV74eUegnVTo0WUlqA_18_5"/>
      <w:bookmarkStart w:id="856" w:name="Tc_xhoOGO9_FUqMa2k2bI8nQA_18_2"/>
      <w:bookmarkStart w:id="857" w:name="Tc_C0SDKPUaP0azAkqcoJHlZg_18_0"/>
      <w:bookmarkStart w:id="858" w:name="Tc_KfajPgKNt0qy_oFCdCBUog_17_18"/>
      <w:bookmarkStart w:id="859" w:name="Tc_UXLhOr0eBESrKgLCX93Vdw_17_6"/>
      <w:bookmarkStart w:id="860" w:name="Tc_HQK5_V9gWE6g174llaW4tg_17_0"/>
      <w:bookmarkStart w:id="861" w:name="Tc_PGiMGLY4Q0yvNa5UvkzMbg_16_18"/>
      <w:bookmarkStart w:id="862" w:name="Tc_Y3nReGRJ5Emtsoj5Z4WbPQ_16_0"/>
      <w:bookmarkStart w:id="863" w:name="Tc_wYMhRklQ006gQ6mTHHQ5eA_15_18"/>
      <w:bookmarkStart w:id="864" w:name="Tc_ZCUKRmVDukyDcsquqatpVg_15_0"/>
      <w:bookmarkStart w:id="865" w:name="Tc_Ze9wuKTY_ESzKHMzQFFSzA_14_0"/>
      <w:bookmarkStart w:id="866" w:name="Tc_tdD7kubpxk-A_ty21GJc0A_13_18"/>
      <w:bookmarkStart w:id="867" w:name="Tc_o9vbjaaFdE2QDYm27GKGTw_13_0"/>
      <w:bookmarkStart w:id="868" w:name="Tc_3_ToffpgLEC07uDwW_r9Kg_12_18"/>
      <w:bookmarkStart w:id="869" w:name="Tc_yYu_6bSI30SE_RYUD0-uvw_12_0"/>
      <w:bookmarkStart w:id="870" w:name="Tc_6VM849q4FUqLv8VaJhevwA_11_18"/>
      <w:bookmarkStart w:id="871" w:name="Tc_k9uO6CIEh0GWQC9rqkqDrw_11_0"/>
      <w:bookmarkStart w:id="872" w:name="Tc_X2nxL1Q_oEyrafDYIWrrxw_10_18"/>
      <w:bookmarkStart w:id="873" w:name="Tc_yqKGczGoAUaQW4oUx5rYpw_10_0"/>
      <w:bookmarkStart w:id="874" w:name="Tc_R6ialLWBNkWM0HP1qxupnw_9_18"/>
      <w:bookmarkStart w:id="875" w:name="Tc_OZR5tQ-he0O2hMsixDO9kw_9_15"/>
      <w:bookmarkStart w:id="876" w:name="Tc_FOa5ZTZp_E6PfGdoHdpEXQ_9_9"/>
      <w:bookmarkStart w:id="877" w:name="Tc_4DkUEec_NEuOXHfD78aaTQ_9_6"/>
      <w:bookmarkStart w:id="878" w:name="Tc_H2rCJvInAEO4o623vhz94g_9_0"/>
      <w:bookmarkStart w:id="879" w:name="Tc_2NfyfKIN4USKIKHpInguUw_8_18"/>
      <w:bookmarkStart w:id="880" w:name="Tc_9ZdBscbcM0SraNbZy5QMgg_8_17"/>
      <w:bookmarkStart w:id="881" w:name="Tc_RTQAFOG8RES5yl-teCp-bw_8_14"/>
      <w:bookmarkStart w:id="882" w:name="Tc_A_FSfN__7k-G0tLhcI9Phw_8_11"/>
      <w:bookmarkStart w:id="883" w:name="Tc_oxA-PEVZt06hqA-tm1TLPQ_8_8"/>
      <w:bookmarkStart w:id="884" w:name="Tc_1czSREzC8kmGLNH34skPSw_8_5"/>
      <w:bookmarkStart w:id="885" w:name="Tc_YoVkN5mh9k6j9EqKlTF7TA_8_2"/>
      <w:bookmarkStart w:id="886" w:name="Tc_ePP2C7ltjU-SMVIfewNyOQ_8_0"/>
      <w:bookmarkStart w:id="887" w:name="Tc_Uind2wquzUy5ZWJA2XQchA_7_0"/>
      <w:bookmarkStart w:id="888" w:name="Tc_EZMSHl3X706cmQNkDUFg3A_6_0"/>
      <w:bookmarkStart w:id="889" w:name="Tc_D5U5FJCi2UmxEW8qgHbU7w_5_17"/>
      <w:bookmarkStart w:id="890" w:name="Tc_dkOWWgVYe0OyBYDoJ6qasA_5_14"/>
      <w:bookmarkStart w:id="891" w:name="Tc_DRj17Li0V06Cg44L2Zvp0A_5_11"/>
      <w:bookmarkStart w:id="892" w:name="Tc_Ix-IMUWc3kWW4xLGi5-ymg_5_8"/>
      <w:bookmarkStart w:id="893" w:name="Tc_tQqwf632C0q3wajJGnRwxw_5_5"/>
      <w:bookmarkStart w:id="894" w:name="Tc_rSuLPhBGyEqN5z8XBQx_5g_5_2"/>
      <w:bookmarkStart w:id="895" w:name="Tc_v9YS-gh1a0GPaCCHHY4uwQ_5_0"/>
      <w:bookmarkStart w:id="896" w:name="Tc_DZ1pXzdmLk2nqtPcrPzgIg_4_17"/>
      <w:bookmarkStart w:id="897" w:name="Tc_hT3aXU-8XEGqpalycvAPkA_4_14"/>
      <w:bookmarkStart w:id="898" w:name="Tc_YU4BDt-FtUyizBWCFk5t6g_4_11"/>
      <w:bookmarkStart w:id="899" w:name="Tc_QA5aL3iShkSYlvR8CJXpDQ_4_8"/>
      <w:bookmarkStart w:id="900" w:name="Tc_O7p_KmyAX0Gs1hhgETBI_A_4_5"/>
      <w:bookmarkStart w:id="901" w:name="Tc_VGomlLW1PEi9DqGphdGi5g_4_2"/>
      <w:bookmarkStart w:id="902" w:name="Tc_fhDUrWQCNEGBjBsuXtGTog_3_17"/>
      <w:bookmarkStart w:id="903" w:name="Tc_Jf8oDhOQNEqEtQUp4-rEqg_3_14"/>
      <w:bookmarkStart w:id="904" w:name="Tc_Jc2nEUYIDkWSdDxK5W5LDw_3_8"/>
      <w:bookmarkStart w:id="905" w:name="Tc_-Gsmb8SrMkSWb3fUdrVeyA_3_5"/>
      <w:bookmarkStart w:id="906" w:name="Tc_zU-Jzj4soEqDOHeM5wbF9g_2_17"/>
      <w:bookmarkStart w:id="907" w:name="Tc_xiWPK9mt_UytHFuy75-g9Q_2_14"/>
      <w:bookmarkStart w:id="908" w:name="Tc_RcSHnNuI90y0dwUH0tgMFQ_2_8"/>
      <w:bookmarkStart w:id="909" w:name="Tc_UKI6YrXiSUS0bkzmxXHp9Q_2_5"/>
      <w:bookmarkStart w:id="910" w:name="Tc_O_NhIWKVdE-aRNiLFX2eiw_1_17"/>
      <w:bookmarkStart w:id="911" w:name="Tc_B0VKzRxFeEKbmdICFN7FAQ_1_14"/>
      <w:bookmarkStart w:id="912" w:name="_026d188c_8915_4d0d_b5c1_d150c615332f"/>
      <w:bookmarkStart w:id="913" w:name="Tc_LZNjjbrvNEulw0WnlGI6VA_17_18"/>
      <w:bookmarkStart w:id="914" w:name="Tc_2HUFLQZIkkeBMOSEih9YbQ_17_17"/>
      <w:bookmarkStart w:id="915" w:name="Tc_CCx8txEWUEyQvEnsQovfyQ_17_14"/>
      <w:bookmarkStart w:id="916" w:name="Tc_mTdmTG7vJUqROHoXr9GJFw_17_11"/>
      <w:bookmarkStart w:id="917" w:name="Tc_F6uFMn2mNkCfFThM2U7Xag_17_8"/>
      <w:bookmarkStart w:id="918" w:name="Tc_FKOvoFHfIUOpQN6dBMHbZg_17_5"/>
      <w:bookmarkStart w:id="919" w:name="Tc_fAHxVtxROUCzvprm8NDYXQ_17_2"/>
      <w:bookmarkStart w:id="920" w:name="Tc_mb0EbZhfqkCykICSC8kFGA_17_0"/>
      <w:bookmarkStart w:id="921" w:name="Tc_Wr61fWsCb0G78zjxGSAW_A_16_18"/>
      <w:bookmarkStart w:id="922" w:name="Tc_TS26dfiWeEOYwQyoi-mS3g_16_15"/>
      <w:bookmarkStart w:id="923" w:name="Tc_RImaisVTXEy-3D_EjxF7DA_16_9"/>
      <w:bookmarkStart w:id="924" w:name="Tc_nLorJ_YdNkaXMfxrLY8Vgw_16_6"/>
      <w:bookmarkStart w:id="925" w:name="Tc_qJ-irrlIMUGZ7mNjNo6rDg_16_0"/>
      <w:bookmarkStart w:id="926" w:name="Tc_Ct1IS1hbtE2yIOWda90KeA_15_18"/>
      <w:bookmarkStart w:id="927" w:name="Tc_YHU7TwYT-kGAU-FlvC94Ig_15_0"/>
      <w:bookmarkStart w:id="928" w:name="Tc_pUwnFfVgcEGyhHtTP4JJhA_14_18"/>
      <w:bookmarkStart w:id="929" w:name="Tc_KJdUgKOopE-xHN0D0m_g7A_14_6"/>
      <w:bookmarkStart w:id="930" w:name="Tc_LAr_hr0DZEW0c1rv3gi47g_14_0"/>
      <w:bookmarkStart w:id="931" w:name="Tc_AGWrmxkDbkyI3Wxoq-uuQQ_13_0"/>
      <w:bookmarkStart w:id="932" w:name="Tc_f6PVwsBzw0eIAaqSNUO3VQ_12_18"/>
      <w:bookmarkStart w:id="933" w:name="Tc_gthAhKyckECjOnrjLrgr1Q_12_0"/>
      <w:bookmarkStart w:id="934" w:name="Tc_KFLEcfOlF0uJfCaJTXeN3Q_11_18"/>
      <w:bookmarkStart w:id="935" w:name="Tc_2X5uquuaIUKeomFYXShmvw_11_0"/>
      <w:bookmarkStart w:id="936" w:name="Tc_uj7ZxwjgN0qCLQqI4XuOaQ_10_18"/>
      <w:bookmarkStart w:id="937" w:name="Tc_3n1Xd72CJ0-J2FIkEv2i_g_10_0"/>
      <w:bookmarkStart w:id="938" w:name="Tc_Cl2t15a2TkC3KW9aioaT8g_9_18"/>
      <w:bookmarkStart w:id="939" w:name="Tc_1yUTMWxMvEGU7U7S_qsu5Q_9_15"/>
      <w:bookmarkStart w:id="940" w:name="Tc_rjUDqxO_ukG8uCSnLOh6GQ_9_9"/>
      <w:bookmarkStart w:id="941" w:name="Tc_cxP62nFHZkS04yYAwIyBGQ_9_6"/>
      <w:bookmarkStart w:id="942" w:name="Tc_5wPMUErRFki_EmCbYYbkOQ_9_0"/>
      <w:bookmarkStart w:id="943" w:name="Tc_6zEvzlYBn0OEJbggBk-0DQ_8_18"/>
      <w:bookmarkStart w:id="944" w:name="Tc_D4TdSmV9Fkmg2DcO7pZ6Vw_8_17"/>
      <w:bookmarkStart w:id="945" w:name="Tc_lGU2vI4lTEeAFW09T98lKw_8_14"/>
      <w:bookmarkStart w:id="946" w:name="Tc_uA9Nayvfvk6wOZjjXggrxw_8_11"/>
      <w:bookmarkStart w:id="947" w:name="Tc_MyKZCOeN0kS4QB8VEVaBig_8_8"/>
      <w:bookmarkStart w:id="948" w:name="Tc_sViBqb8u7UOaVs0JawA0rA_8_5"/>
      <w:bookmarkStart w:id="949" w:name="Tc_8CPnoW_pT0SNsrMfAPdfXw_8_2"/>
      <w:bookmarkStart w:id="950" w:name="Tc_Qa0vTZHD9EKehP7wJkL8-Q_8_0"/>
      <w:bookmarkStart w:id="951" w:name="Tc_bpq3497ZH0OkJFlS-qMf2g_7_0"/>
      <w:bookmarkStart w:id="952" w:name="Tc_moHkLCAdm0SbZg-lDlggXQ_6_0"/>
      <w:bookmarkStart w:id="953" w:name="Tc_z2XT0bPX8kiTs52sdMK8aw_5_17"/>
      <w:bookmarkStart w:id="954" w:name="Tc_LT9ljDieREaybSWJaxRjqw_5_14"/>
      <w:bookmarkStart w:id="955" w:name="Tc_PudI5AQkV0-wm5qVFhTZKg_5_11"/>
      <w:bookmarkStart w:id="956" w:name="Tc_SG4rUQdhyk2-YPWo-CforA_5_8"/>
      <w:bookmarkStart w:id="957" w:name="Tc_8alxqNp8fE2wWCv6kdH4UQ_5_5"/>
      <w:bookmarkStart w:id="958" w:name="Tc_XJaGxxNEYk2VEmC7Gkg0cQ_5_2"/>
      <w:bookmarkStart w:id="959" w:name="Tc_400pqVNqX02y_ha2P8zSSA_5_0"/>
      <w:bookmarkStart w:id="960" w:name="Tc_IhSkLPR3yEa2n-B4O_8Z1A_4_17"/>
      <w:bookmarkStart w:id="961" w:name="Tc_K1BAgcSznEa0-k90oZhB3A_4_14"/>
      <w:bookmarkStart w:id="962" w:name="Tc_6ivv5JDHRE-eQ1_y_PMFFA_4_11"/>
      <w:bookmarkStart w:id="963" w:name="Tc_EwNe-M-E1E6itPorwBt9-A_4_8"/>
      <w:bookmarkStart w:id="964" w:name="Tc_iFvjn808Jk-7lnzJZG5TGw_4_5"/>
      <w:bookmarkStart w:id="965" w:name="Tc_WRf65GkOj06POlu3nVrbdg_4_2"/>
      <w:bookmarkStart w:id="966" w:name="Tc_8WUH0aUvJEWRvVn-1WAGvg_3_17"/>
      <w:bookmarkStart w:id="967" w:name="Tc_LAjNvHuVOUqJ-Q42ARZAsw_3_14"/>
      <w:bookmarkStart w:id="968" w:name="Tc_BazSpQaSqU-gHsiZ1eFiUw_3_8"/>
      <w:bookmarkStart w:id="969" w:name="Tc_Z7sHICRBoU64Xpv5dwo0kw_3_5"/>
      <w:bookmarkStart w:id="970" w:name="Tc_sz1zXRmbE0-AgHNvusf7UQ_2_17"/>
      <w:bookmarkStart w:id="971" w:name="Tc_a7-lwUmuDEiYWXkQQlMzyw_2_14"/>
      <w:bookmarkStart w:id="972" w:name="Tc_OyaPwWtPSk2EOgrYsPjBPg_2_8"/>
      <w:bookmarkStart w:id="973" w:name="Tc_TcLivXdtLkSJofcyh20Bwg_2_5"/>
      <w:bookmarkStart w:id="974" w:name="Tc_4izT5NjuSUaEWodjfRLUpA_1_17"/>
      <w:bookmarkStart w:id="975" w:name="Tc_uhPCXT7FHk6nUHQQep23GQ_1_14"/>
      <w:bookmarkStart w:id="976" w:name="_70f6e449_0dc7_44d2_a9a5_90f16c5af2d1"/>
      <w:bookmarkStart w:id="977" w:name="Tc_oT_u5RmjBU-25Urn-JgvCg_18_18"/>
      <w:bookmarkStart w:id="978" w:name="Tc_RjrjpTx1wEWrlqtMdEiV3A_18_17"/>
      <w:bookmarkStart w:id="979" w:name="Tc_1ByGdui-pE-Idl9S6JDuYQ_18_14"/>
      <w:bookmarkStart w:id="980" w:name="Tc_UHcLZhmuwUK6JAC0zLlKlA_18_11"/>
      <w:bookmarkStart w:id="981" w:name="Tc_A7ycHm2DLkayVeyubtiMrg_18_8"/>
      <w:bookmarkStart w:id="982" w:name="Tc_COzNDV74eUegnVTo0WUlqA_18_5"/>
      <w:bookmarkStart w:id="983" w:name="Tc_xhoOGO9_FUqMa2k2bI8nQA_18_2"/>
      <w:bookmarkStart w:id="984" w:name="Tc_C0SDKPUaP0azAkqcoJHlZg_18_0"/>
      <w:bookmarkStart w:id="985" w:name="Tc_KfajPgKNt0qy_oFCdCBUog_17_18"/>
      <w:bookmarkStart w:id="986" w:name="Tc_UXLhOr0eBESrKgLCX93Vdw_17_6"/>
      <w:bookmarkStart w:id="987" w:name="Tc_HQK5_V9gWE6g174llaW4tg_17_0"/>
      <w:bookmarkStart w:id="988" w:name="Tc_PGiMGLY4Q0yvNa5UvkzMbg_16_18"/>
      <w:bookmarkStart w:id="989" w:name="Tc_Y3nReGRJ5Emtsoj5Z4WbPQ_16_0"/>
      <w:bookmarkStart w:id="990" w:name="Tc_wYMhRklQ006gQ6mTHHQ5eA_15_18"/>
      <w:bookmarkStart w:id="991" w:name="Tc_ZCUKRmVDukyDcsquqatpVg_15_0"/>
      <w:bookmarkStart w:id="992" w:name="Tc_Ze9wuKTY_ESzKHMzQFFSzA_14_0"/>
      <w:bookmarkStart w:id="993" w:name="Tc_tdD7kubpxk-A_ty21GJc0A_13_18"/>
      <w:bookmarkStart w:id="994" w:name="Tc_o9vbjaaFdE2QDYm27GKGTw_13_0"/>
      <w:bookmarkStart w:id="995" w:name="Tc_3_ToffpgLEC07uDwW_r9Kg_12_18"/>
      <w:bookmarkStart w:id="996" w:name="Tc_yYu_6bSI30SE_RYUD0-uvw_12_0"/>
      <w:bookmarkStart w:id="997" w:name="Tc_6VM849q4FUqLv8VaJhevwA_11_18"/>
      <w:bookmarkStart w:id="998" w:name="Tc_k9uO6CIEh0GWQC9rqkqDrw_11_0"/>
      <w:bookmarkStart w:id="999" w:name="Tc_X2nxL1Q_oEyrafDYIWrrxw_10_18"/>
      <w:bookmarkStart w:id="1000" w:name="Tc_yqKGczGoAUaQW4oUx5rYpw_10_0"/>
      <w:bookmarkStart w:id="1001" w:name="Tc_R6ialLWBNkWM0HP1qxupnw_9_18"/>
      <w:bookmarkStart w:id="1002" w:name="Tc_OZR5tQ-he0O2hMsixDO9kw_9_15"/>
      <w:bookmarkStart w:id="1003" w:name="Tc_FOa5ZTZp_E6PfGdoHdpEXQ_9_9"/>
      <w:bookmarkStart w:id="1004" w:name="Tc_4DkUEec_NEuOXHfD78aaTQ_9_6"/>
      <w:bookmarkStart w:id="1005" w:name="Tc_H2rCJvInAEO4o623vhz94g_9_0"/>
      <w:bookmarkStart w:id="1006" w:name="Tc_2NfyfKIN4USKIKHpInguUw_8_18"/>
      <w:bookmarkStart w:id="1007" w:name="Tc_9ZdBscbcM0SraNbZy5QMgg_8_17"/>
      <w:bookmarkStart w:id="1008" w:name="Tc_RTQAFOG8RES5yl-teCp-bw_8_14"/>
      <w:bookmarkStart w:id="1009" w:name="Tc_A_FSfN__7k-G0tLhcI9Phw_8_11"/>
      <w:bookmarkStart w:id="1010" w:name="Tc_oxA-PEVZt06hqA-tm1TLPQ_8_8"/>
      <w:bookmarkStart w:id="1011" w:name="Tc_1czSREzC8kmGLNH34skPSw_8_5"/>
      <w:bookmarkStart w:id="1012" w:name="Tc_YoVkN5mh9k6j9EqKlTF7TA_8_2"/>
      <w:bookmarkStart w:id="1013" w:name="Tc_ePP2C7ltjU-SMVIfewNyOQ_8_0"/>
      <w:bookmarkStart w:id="1014" w:name="Tc_Uind2wquzUy5ZWJA2XQchA_7_0"/>
      <w:bookmarkStart w:id="1015" w:name="Tc_EZMSHl3X706cmQNkDUFg3A_6_0"/>
      <w:bookmarkStart w:id="1016" w:name="Tc_D5U5FJCi2UmxEW8qgHbU7w_5_17"/>
      <w:bookmarkStart w:id="1017" w:name="Tc_dkOWWgVYe0OyBYDoJ6qasA_5_14"/>
      <w:bookmarkStart w:id="1018" w:name="Tc_DRj17Li0V06Cg44L2Zvp0A_5_11"/>
      <w:bookmarkStart w:id="1019" w:name="Tc_Ix-IMUWc3kWW4xLGi5-ymg_5_8"/>
      <w:bookmarkStart w:id="1020" w:name="Tc_tQqwf632C0q3wajJGnRwxw_5_5"/>
      <w:bookmarkStart w:id="1021" w:name="Tc_rSuLPhBGyEqN5z8XBQx_5g_5_2"/>
      <w:bookmarkStart w:id="1022" w:name="Tc_v9YS-gh1a0GPaCCHHY4uwQ_5_0"/>
      <w:bookmarkStart w:id="1023" w:name="Tc_DZ1pXzdmLk2nqtPcrPzgIg_4_17"/>
      <w:bookmarkStart w:id="1024" w:name="Tc_hT3aXU-8XEGqpalycvAPkA_4_14"/>
      <w:bookmarkStart w:id="1025" w:name="Tc_YU4BDt-FtUyizBWCFk5t6g_4_11"/>
      <w:bookmarkStart w:id="1026" w:name="Tc_QA5aL3iShkSYlvR8CJXpDQ_4_8"/>
      <w:bookmarkStart w:id="1027" w:name="Tc_O7p_KmyAX0Gs1hhgETBI_A_4_5"/>
      <w:bookmarkStart w:id="1028" w:name="Tc_VGomlLW1PEi9DqGphdGi5g_4_2"/>
      <w:bookmarkStart w:id="1029" w:name="Tc_fhDUrWQCNEGBjBsuXtGTog_3_17"/>
      <w:bookmarkStart w:id="1030" w:name="Tc_Jf8oDhOQNEqEtQUp4-rEqg_3_14"/>
      <w:bookmarkStart w:id="1031" w:name="Tc_Jc2nEUYIDkWSdDxK5W5LDw_3_8"/>
      <w:bookmarkStart w:id="1032" w:name="Tc_-Gsmb8SrMkSWb3fUdrVeyA_3_5"/>
      <w:bookmarkStart w:id="1033" w:name="Tc_zU-Jzj4soEqDOHeM5wbF9g_2_17"/>
      <w:bookmarkStart w:id="1034" w:name="Tc_xiWPK9mt_UytHFuy75-g9Q_2_14"/>
      <w:bookmarkStart w:id="1035" w:name="Tc_RcSHnNuI90y0dwUH0tgMFQ_2_8"/>
      <w:bookmarkStart w:id="1036" w:name="Tc_UKI6YrXiSUS0bkzmxXHp9Q_2_5"/>
      <w:bookmarkStart w:id="1037" w:name="Tc_O_NhIWKVdE-aRNiLFX2eiw_1_17"/>
      <w:bookmarkStart w:id="1038" w:name="Tc_B0VKzRxFeEKbmdICFN7FAQ_1_14"/>
      <w:bookmarkStart w:id="1039" w:name="_026d188c_8915_4d0d_b5c1_d150c615332f"/>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p>
    <w:tbl>
      <w:tblPr>
        <w:tblW w:w="1757" w:type="dxa"/>
        <w:jc w:val="left"/>
        <w:tblInd w:w="0" w:type="dxa"/>
        <w:tblCellMar>
          <w:top w:w="0" w:type="dxa"/>
          <w:left w:w="0" w:type="dxa"/>
          <w:bottom w:w="0" w:type="dxa"/>
          <w:right w:w="0" w:type="dxa"/>
        </w:tblCellMar>
      </w:tblPr>
      <w:tblGrid>
        <w:gridCol w:w="271"/>
        <w:gridCol w:w="1486"/>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4.</w:t>
            </w:r>
          </w:p>
        </w:tc>
        <w:tc>
          <w:tcPr>
            <w:tcW w:w="148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INVESTMENTS</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investments at:</w:t>
      </w:r>
    </w:p>
    <w:p>
      <w:pPr>
        <w:pStyle w:val="TextBody"/>
        <w:spacing w:before="0" w:after="0"/>
        <w:ind w:left="0" w:right="0" w:firstLine="720"/>
        <w:jc w:val="both"/>
        <w:rPr/>
      </w:pPr>
      <w:r>
        <w:rPr/>
        <w:t>​</w:t>
      </w:r>
    </w:p>
    <w:tbl>
      <w:tblPr>
        <w:tblW w:w="10440" w:type="dxa"/>
        <w:jc w:val="left"/>
        <w:tblInd w:w="0" w:type="dxa"/>
        <w:tblCellMar>
          <w:top w:w="0" w:type="dxa"/>
          <w:left w:w="0" w:type="dxa"/>
          <w:bottom w:w="0" w:type="dxa"/>
          <w:right w:w="0" w:type="dxa"/>
        </w:tblCellMar>
      </w:tblPr>
      <w:tblGrid>
        <w:gridCol w:w="1651"/>
        <w:gridCol w:w="326"/>
        <w:gridCol w:w="211"/>
        <w:gridCol w:w="931"/>
        <w:gridCol w:w="326"/>
        <w:gridCol w:w="330"/>
        <w:gridCol w:w="661"/>
        <w:gridCol w:w="326"/>
        <w:gridCol w:w="267"/>
        <w:gridCol w:w="724"/>
        <w:gridCol w:w="326"/>
        <w:gridCol w:w="211"/>
        <w:gridCol w:w="931"/>
        <w:gridCol w:w="326"/>
        <w:gridCol w:w="323"/>
        <w:gridCol w:w="878"/>
        <w:gridCol w:w="326"/>
        <w:gridCol w:w="435"/>
        <w:gridCol w:w="931"/>
      </w:tblGrid>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7010" cy="175260"/>
                      <wp:effectExtent l="0" t="0" r="0" b="0"/>
                      <wp:wrapNone/>
                      <wp:docPr id="178" name="Frame17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33985" cy="175260"/>
                      <wp:effectExtent l="0" t="0" r="0" b="0"/>
                      <wp:wrapNone/>
                      <wp:docPr id="179" name="Frame1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91185" cy="175260"/>
                      <wp:effectExtent l="0" t="0" r="0" b="0"/>
                      <wp:wrapNone/>
                      <wp:docPr id="180" name="Frame1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9550" cy="175260"/>
                      <wp:effectExtent l="0" t="0" r="0" b="0"/>
                      <wp:wrapNone/>
                      <wp:docPr id="182" name="Frame182"/>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419735" cy="175260"/>
                      <wp:effectExtent l="0" t="0" r="0" b="0"/>
                      <wp:wrapNone/>
                      <wp:docPr id="183" name="Frame18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169545" cy="175260"/>
                      <wp:effectExtent l="0" t="0" r="0" b="0"/>
                      <wp:wrapNone/>
                      <wp:docPr id="185" name="Frame185"/>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459740" cy="175260"/>
                      <wp:effectExtent l="0" t="0" r="0" b="0"/>
                      <wp:wrapNone/>
                      <wp:docPr id="186" name="Frame186"/>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7" name="Frame18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8" name="Frame18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91185" cy="175260"/>
                      <wp:effectExtent l="0" t="0" r="0" b="0"/>
                      <wp:wrapNone/>
                      <wp:docPr id="189" name="Frame18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07010" cy="175260"/>
                      <wp:effectExtent l="0" t="0" r="0" b="0"/>
                      <wp:wrapNone/>
                      <wp:docPr id="190" name="Frame19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05105" cy="175260"/>
                      <wp:effectExtent l="0" t="0" r="0" b="0"/>
                      <wp:wrapNone/>
                      <wp:docPr id="191" name="Frame191"/>
                      <a:graphic xmlns:a="http://schemas.openxmlformats.org/drawingml/2006/main">
                        <a:graphicData uri="http://schemas.microsoft.com/office/word/2010/wordprocessingShape">
                          <wps:wsp>
                            <wps:cNvSpPr txBox="1"/>
                            <wps:spPr>
                              <a:xfrm>
                                <a:off x="0" y="0"/>
                                <a:ext cx="205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557530" cy="175260"/>
                      <wp:effectExtent l="0" t="0" r="0" b="0"/>
                      <wp:wrapNone/>
                      <wp:docPr id="192" name="Frame192"/>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76225" cy="175260"/>
                      <wp:effectExtent l="0" t="0" r="0" b="0"/>
                      <wp:wrapNone/>
                      <wp:docPr id="194" name="Frame194"/>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91185" cy="175260"/>
                      <wp:effectExtent l="0" t="0" r="0" b="0"/>
                      <wp:wrapNone/>
                      <wp:docPr id="195" name="Frame195"/>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5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shd w:fill="auto" w:val="cle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296,708</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296,708</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12,630</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12,630</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129,779</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129,574</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208</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129,605</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 </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129,308</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744,403</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 </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742,379</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2,180</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72,536</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72,429</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10,432</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10,430</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28,996</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28,971</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auto" w:val="clear"/>
            <w:vAlign w:val="center"/>
          </w:tcPr>
          <w:p>
            <w:pPr>
              <w:pStyle w:val="TableContents"/>
              <w:spacing w:before="0" w:after="0"/>
              <w:ind w:left="0" w:right="0" w:hanging="0"/>
              <w:rPr/>
            </w:pPr>
            <w:r>
              <w:rPr/>
              <w:t>​</w:t>
            </w:r>
          </w:p>
        </w:tc>
        <w:tc>
          <w:tcPr>
            <w:tcW w:w="330"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2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c>
          <w:tcPr>
            <w:tcW w:w="326" w:type="dxa"/>
            <w:tcBorders/>
            <w:shd w:fill="auto" w:val="clear"/>
            <w:vAlign w:val="center"/>
          </w:tcPr>
          <w:p>
            <w:pPr>
              <w:pStyle w:val="TableContents"/>
              <w:spacing w:before="0" w:after="0"/>
              <w:ind w:left="0" w:right="0" w:hanging="0"/>
              <w:rPr/>
            </w:pPr>
            <w:r>
              <w:rPr/>
              <w:t>​</w:t>
            </w:r>
          </w:p>
        </w:tc>
        <w:tc>
          <w:tcPr>
            <w:tcW w:w="323"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16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1,426,842</w:t>
            </w:r>
          </w:p>
        </w:tc>
        <w:tc>
          <w:tcPr>
            <w:tcW w:w="326" w:type="dxa"/>
            <w:tcBorders/>
            <w:shd w:fill="CCEEFF" w:val="clear"/>
            <w:vAlign w:val="center"/>
          </w:tcPr>
          <w:p>
            <w:pPr>
              <w:pStyle w:val="TableContents"/>
              <w:spacing w:before="0" w:after="0"/>
              <w:ind w:left="0" w:right="0" w:hanging="0"/>
              <w:rPr/>
            </w:pPr>
            <w:r>
              <w:rPr/>
              <w:t>​</w:t>
            </w:r>
          </w:p>
        </w:tc>
        <w:tc>
          <w:tcPr>
            <w:tcW w:w="33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226</w:t>
            </w:r>
          </w:p>
        </w:tc>
        <w:tc>
          <w:tcPr>
            <w:tcW w:w="326" w:type="dxa"/>
            <w:tcBorders/>
            <w:shd w:fill="CCEEFF" w:val="clear"/>
            <w:vAlign w:val="center"/>
          </w:tcPr>
          <w:p>
            <w:pPr>
              <w:pStyle w:val="TableContents"/>
              <w:spacing w:before="0" w:after="0"/>
              <w:ind w:left="0" w:right="0" w:hanging="0"/>
              <w:rPr/>
            </w:pPr>
            <w:r>
              <w:rPr/>
              <w:t>​</w:t>
            </w:r>
          </w:p>
        </w:tc>
        <w:tc>
          <w:tcPr>
            <w:tcW w:w="26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1,424,180</w:t>
            </w:r>
          </w:p>
        </w:tc>
        <w:tc>
          <w:tcPr>
            <w:tcW w:w="326" w:type="dxa"/>
            <w:tcBorders/>
            <w:shd w:fill="CCEEFF" w:val="clear"/>
            <w:vAlign w:val="center"/>
          </w:tcPr>
          <w:p>
            <w:pPr>
              <w:pStyle w:val="TableContents"/>
              <w:spacing w:before="0" w:after="0"/>
              <w:ind w:left="0" w:right="0" w:hanging="0"/>
              <w:rPr/>
            </w:pPr>
            <w:r>
              <w:rPr/>
              <w:t>​</w:t>
            </w:r>
          </w:p>
        </w:tc>
        <w:tc>
          <w:tcPr>
            <w:tcW w:w="32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tbl>
      <w:tblPr>
        <w:tblW w:w="10485" w:type="dxa"/>
        <w:jc w:val="left"/>
        <w:tblInd w:w="0" w:type="dxa"/>
        <w:tblCellMar>
          <w:top w:w="0" w:type="dxa"/>
          <w:left w:w="0" w:type="dxa"/>
          <w:bottom w:w="0" w:type="dxa"/>
          <w:right w:w="0" w:type="dxa"/>
        </w:tblCellMar>
      </w:tblPr>
      <w:tblGrid>
        <w:gridCol w:w="1696"/>
        <w:gridCol w:w="326"/>
        <w:gridCol w:w="211"/>
        <w:gridCol w:w="931"/>
        <w:gridCol w:w="326"/>
        <w:gridCol w:w="330"/>
        <w:gridCol w:w="661"/>
        <w:gridCol w:w="326"/>
        <w:gridCol w:w="267"/>
        <w:gridCol w:w="724"/>
        <w:gridCol w:w="326"/>
        <w:gridCol w:w="211"/>
        <w:gridCol w:w="931"/>
        <w:gridCol w:w="326"/>
        <w:gridCol w:w="323"/>
        <w:gridCol w:w="878"/>
        <w:gridCol w:w="326"/>
        <w:gridCol w:w="435"/>
        <w:gridCol w:w="931"/>
      </w:tblGrid>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591185" cy="175260"/>
                      <wp:effectExtent l="0" t="0" r="0" b="0"/>
                      <wp:wrapNone/>
                      <wp:docPr id="198" name="Frame19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9550" cy="175260"/>
                      <wp:effectExtent l="0" t="0" r="0" b="0"/>
                      <wp:wrapNone/>
                      <wp:docPr id="200" name="Frame200"/>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19735" cy="175260"/>
                      <wp:effectExtent l="0" t="0" r="0" b="0"/>
                      <wp:wrapNone/>
                      <wp:docPr id="201" name="Frame201"/>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69545" cy="175260"/>
                      <wp:effectExtent l="0" t="0" r="0" b="0"/>
                      <wp:wrapNone/>
                      <wp:docPr id="203" name="Frame203"/>
                      <a:graphic xmlns:a="http://schemas.openxmlformats.org/drawingml/2006/main">
                        <a:graphicData uri="http://schemas.microsoft.com/office/word/2010/wordprocessingShape">
                          <wps:wsp>
                            <wps:cNvSpPr txBox="1"/>
                            <wps:spPr>
                              <a:xfrm>
                                <a:off x="0" y="0"/>
                                <a:ext cx="169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2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59740" cy="175260"/>
                      <wp:effectExtent l="0" t="0" r="0" b="0"/>
                      <wp:wrapNone/>
                      <wp:docPr id="204" name="Frame204"/>
                      <a:graphic xmlns:a="http://schemas.openxmlformats.org/drawingml/2006/main">
                        <a:graphicData uri="http://schemas.microsoft.com/office/word/2010/wordprocessingShape">
                          <wps:wsp>
                            <wps:cNvSpPr txBox="1"/>
                            <wps:spPr>
                              <a:xfrm>
                                <a:off x="0" y="0"/>
                                <a:ext cx="4597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5" name="Frame2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33985" cy="175260"/>
                      <wp:effectExtent l="0" t="0" r="0" b="0"/>
                      <wp:wrapNone/>
                      <wp:docPr id="206" name="Frame2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91185" cy="175260"/>
                      <wp:effectExtent l="0" t="0" r="0" b="0"/>
                      <wp:wrapNone/>
                      <wp:docPr id="207" name="Frame207"/>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8" name="Frame2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5105" cy="175260"/>
                      <wp:effectExtent l="0" t="0" r="0" b="0"/>
                      <wp:wrapNone/>
                      <wp:docPr id="209" name="Frame209"/>
                      <a:graphic xmlns:a="http://schemas.openxmlformats.org/drawingml/2006/main">
                        <a:graphicData uri="http://schemas.microsoft.com/office/word/2010/wordprocessingShape">
                          <wps:wsp>
                            <wps:cNvSpPr txBox="1"/>
                            <wps:spPr>
                              <a:xfrm>
                                <a:off x="0" y="0"/>
                                <a:ext cx="2051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7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557530" cy="175260"/>
                      <wp:effectExtent l="0" t="0" r="0" b="0"/>
                      <wp:wrapNone/>
                      <wp:docPr id="210" name="Frame210"/>
                      <a:graphic xmlns:a="http://schemas.openxmlformats.org/drawingml/2006/main">
                        <a:graphicData uri="http://schemas.microsoft.com/office/word/2010/wordprocessingShape">
                          <wps:wsp>
                            <wps:cNvSpPr txBox="1"/>
                            <wps:spPr>
                              <a:xfrm>
                                <a:off x="0" y="0"/>
                                <a:ext cx="5575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07010" cy="175260"/>
                      <wp:effectExtent l="0" t="0" r="0" b="0"/>
                      <wp:wrapNone/>
                      <wp:docPr id="211" name="Frame21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76225" cy="175260"/>
                      <wp:effectExtent l="0" t="0" r="0" b="0"/>
                      <wp:wrapNone/>
                      <wp:docPr id="212" name="Frame212"/>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591185" cy="175260"/>
                      <wp:effectExtent l="0" t="0" r="0" b="0"/>
                      <wp:wrapNone/>
                      <wp:docPr id="213" name="Frame21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Continuous</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 Position</w:t>
            </w:r>
          </w:p>
        </w:tc>
      </w:tr>
      <w:tr>
        <w:trPr/>
        <w:tc>
          <w:tcPr>
            <w:tcW w:w="16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99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Holding</w:t>
            </w:r>
          </w:p>
        </w:tc>
        <w:tc>
          <w:tcPr>
            <w:tcW w:w="326" w:type="dxa"/>
            <w:tcBorders/>
            <w:shd w:fill="auto" w:val="clear"/>
            <w:vAlign w:val="center"/>
          </w:tcPr>
          <w:p>
            <w:pPr>
              <w:pStyle w:val="TableContents"/>
              <w:spacing w:before="0" w:after="0"/>
              <w:ind w:left="0" w:right="0" w:hanging="0"/>
              <w:rPr/>
            </w:pPr>
            <w:r>
              <w:rPr/>
              <w:t>​</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120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 12</w:t>
            </w:r>
          </w:p>
        </w:tc>
        <w:tc>
          <w:tcPr>
            <w:tcW w:w="326" w:type="dxa"/>
            <w:tcBorders/>
            <w:shd w:fill="auto" w:val="clear"/>
            <w:vAlign w:val="center"/>
          </w:tcPr>
          <w:p>
            <w:pPr>
              <w:pStyle w:val="TableContents"/>
              <w:spacing w:before="0" w:after="0"/>
              <w:ind w:left="0" w:right="0" w:hanging="0"/>
              <w:rPr/>
            </w:pPr>
            <w:r>
              <w:rPr/>
              <w:t>​</w:t>
            </w:r>
          </w:p>
        </w:tc>
        <w:tc>
          <w:tcPr>
            <w:tcW w:w="136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greater than 12</w:t>
            </w:r>
          </w:p>
        </w:tc>
      </w:tr>
      <w:tr>
        <w:trPr/>
        <w:tc>
          <w:tcPr>
            <w:tcW w:w="169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Cost</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w:t>
            </w:r>
          </w:p>
        </w:tc>
        <w:tc>
          <w:tcPr>
            <w:tcW w:w="326" w:type="dxa"/>
            <w:tcBorders/>
            <w:shd w:fill="auto" w:val="clear"/>
            <w:vAlign w:val="center"/>
          </w:tcPr>
          <w:p>
            <w:pPr>
              <w:pStyle w:val="TableContents"/>
              <w:spacing w:before="0" w:after="0"/>
              <w:ind w:left="0" w:right="0" w:hanging="0"/>
              <w:rPr/>
            </w:pPr>
            <w:r>
              <w:rPr/>
              <w:t>    </w:t>
            </w:r>
          </w:p>
        </w:tc>
        <w:tc>
          <w:tcPr>
            <w:tcW w:w="9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120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c>
          <w:tcPr>
            <w:tcW w:w="326" w:type="dxa"/>
            <w:tcBorders/>
            <w:shd w:fill="auto" w:val="clear"/>
            <w:vAlign w:val="center"/>
          </w:tcPr>
          <w:p>
            <w:pPr>
              <w:pStyle w:val="TableContents"/>
              <w:spacing w:before="0" w:after="0"/>
              <w:ind w:left="0" w:right="0" w:hanging="0"/>
              <w:rPr/>
            </w:pPr>
            <w:r>
              <w:rPr/>
              <w:t>    </w:t>
            </w:r>
          </w:p>
        </w:tc>
        <w:tc>
          <w:tcPr>
            <w:tcW w:w="136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Months</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b/>
                <w:sz w:val="20"/>
              </w:rPr>
            </w:pPr>
            <w:r>
              <w:rPr>
                <w:rFonts w:ascii="Times New Roman;Times;serif" w:hAnsi="Times New Roman;Times;serif"/>
                <w:b/>
                <w:sz w:val="20"/>
              </w:rPr>
              <w:t>Available-for-sale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197,709</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 </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 </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612</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 </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 </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834,303</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Long-term:</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shd w:fill="CCEEFF" w:val="clear"/>
            <w:vAlign w:val="center"/>
          </w:tcPr>
          <w:p>
            <w:pPr>
              <w:pStyle w:val="TableContents"/>
              <w:spacing w:before="0" w:after="0"/>
              <w:ind w:left="0" w:right="0" w:hanging="0"/>
              <w:rPr/>
            </w:pPr>
            <w:r>
              <w:rPr/>
              <w:t>​</w:t>
            </w:r>
          </w:p>
        </w:tc>
        <w:tc>
          <w:tcPr>
            <w:tcW w:w="72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c>
          <w:tcPr>
            <w:tcW w:w="326" w:type="dxa"/>
            <w:tcBorders/>
            <w:shd w:fill="CCEEFF" w:val="clear"/>
            <w:vAlign w:val="center"/>
          </w:tcPr>
          <w:p>
            <w:pPr>
              <w:pStyle w:val="TableContents"/>
              <w:spacing w:before="0" w:after="0"/>
              <w:ind w:left="0" w:right="0" w:hanging="0"/>
              <w:rPr/>
            </w:pPr>
            <w:r>
              <w:rPr/>
              <w:t>​</w:t>
            </w:r>
          </w:p>
        </w:tc>
        <w:tc>
          <w:tcPr>
            <w:tcW w:w="323" w:type="dxa"/>
            <w:tcBorders/>
            <w:shd w:fill="CCEEFF" w:val="clear"/>
            <w:vAlign w:val="center"/>
          </w:tcPr>
          <w:p>
            <w:pPr>
              <w:pStyle w:val="TableContents"/>
              <w:spacing w:before="0" w:after="0"/>
              <w:ind w:left="0" w:right="0" w:hanging="0"/>
              <w:rPr/>
            </w:pPr>
            <w:r>
              <w:rPr/>
              <w:t>​</w:t>
            </w:r>
          </w:p>
        </w:tc>
        <w:tc>
          <w:tcPr>
            <w:tcW w:w="87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shd w:fill="auto" w:val="clear"/>
            <w:vAlign w:val="center"/>
          </w:tcPr>
          <w:p>
            <w:pPr>
              <w:pStyle w:val="TableContents"/>
              <w:spacing w:before="0" w:after="0"/>
              <w:ind w:left="0" w:right="0" w:hanging="0"/>
              <w:rPr/>
            </w:pPr>
            <w:r>
              <w:rPr/>
              <w:t>​</w:t>
            </w:r>
          </w:p>
        </w:tc>
        <w:tc>
          <w:tcPr>
            <w:tcW w:w="330"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auto" w:val="clear"/>
            <w:vAlign w:val="center"/>
          </w:tcPr>
          <w:p>
            <w:pPr>
              <w:pStyle w:val="TableContents"/>
              <w:spacing w:before="0" w:after="0"/>
              <w:ind w:left="0" w:right="0" w:hanging="0"/>
              <w:rPr/>
            </w:pPr>
            <w:r>
              <w:rPr/>
              <w:t>​</w:t>
            </w:r>
          </w:p>
        </w:tc>
        <w:tc>
          <w:tcPr>
            <w:tcW w:w="267" w:type="dxa"/>
            <w:tcBorders/>
            <w:shd w:fill="auto" w:val="clear"/>
            <w:vAlign w:val="center"/>
          </w:tcPr>
          <w:p>
            <w:pPr>
              <w:pStyle w:val="TableContents"/>
              <w:spacing w:before="0" w:after="0"/>
              <w:ind w:left="0" w:right="0" w:hanging="0"/>
              <w:rPr/>
            </w:pPr>
            <w:r>
              <w:rPr/>
              <w:t>​</w:t>
            </w:r>
          </w:p>
        </w:tc>
        <w:tc>
          <w:tcPr>
            <w:tcW w:w="72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c>
          <w:tcPr>
            <w:tcW w:w="326" w:type="dxa"/>
            <w:tcBorders/>
            <w:shd w:fill="auto" w:val="clear"/>
            <w:vAlign w:val="center"/>
          </w:tcPr>
          <w:p>
            <w:pPr>
              <w:pStyle w:val="TableContents"/>
              <w:spacing w:before="0" w:after="0"/>
              <w:ind w:left="0" w:right="0" w:hanging="0"/>
              <w:rPr/>
            </w:pPr>
            <w:r>
              <w:rPr/>
              <w:t>​</w:t>
            </w:r>
          </w:p>
        </w:tc>
        <w:tc>
          <w:tcPr>
            <w:tcW w:w="323" w:type="dxa"/>
            <w:tcBorders/>
            <w:shd w:fill="auto" w:val="clear"/>
            <w:vAlign w:val="center"/>
          </w:tcPr>
          <w:p>
            <w:pPr>
              <w:pStyle w:val="TableContents"/>
              <w:spacing w:before="0" w:after="0"/>
              <w:ind w:left="0" w:right="0" w:hanging="0"/>
              <w:rPr/>
            </w:pPr>
            <w:r>
              <w:rPr/>
              <w:t>​</w:t>
            </w:r>
          </w:p>
        </w:tc>
        <w:tc>
          <w:tcPr>
            <w:tcW w:w="87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r>
      <w:tr>
        <w:trPr/>
        <w:tc>
          <w:tcPr>
            <w:tcW w:w="16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spacing w:before="0" w:after="0"/>
              <w:ind w:left="0" w:right="0" w:hanging="0"/>
              <w:rPr/>
            </w:pPr>
            <w:r>
              <w:rPr/>
              <w:t>​</w:t>
            </w:r>
          </w:p>
        </w:tc>
        <w:tc>
          <w:tcPr>
            <w:tcW w:w="33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67"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72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spacing w:before="0" w:after="0"/>
              <w:ind w:left="0" w:right="0" w:hanging="0"/>
              <w:rPr/>
            </w:pPr>
            <w:r>
              <w:rPr/>
              <w:t>​</w:t>
            </w:r>
          </w:p>
        </w:tc>
        <w:tc>
          <w:tcPr>
            <w:tcW w:w="323"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7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r>
      <w:tr>
        <w:trPr/>
        <w:tc>
          <w:tcPr>
            <w:tcW w:w="16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shd w:fill="auto" w:val="clear"/>
            <w:vAlign w:val="center"/>
          </w:tcPr>
          <w:p>
            <w:pPr>
              <w:pStyle w:val="TableContents"/>
              <w:spacing w:before="0" w:after="0"/>
              <w:ind w:left="0" w:right="0" w:hanging="0"/>
              <w:rPr/>
            </w:pPr>
            <w:r>
              <w:rPr/>
              <w:t>​</w:t>
            </w:r>
          </w:p>
        </w:tc>
        <w:tc>
          <w:tcPr>
            <w:tcW w:w="3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shd w:fill="auto" w:val="clear"/>
            <w:vAlign w:val="center"/>
          </w:tcPr>
          <w:p>
            <w:pPr>
              <w:pStyle w:val="TableContents"/>
              <w:spacing w:before="0" w:after="0"/>
              <w:ind w:left="0" w:right="0" w:hanging="0"/>
              <w:rPr/>
            </w:pPr>
            <w:r>
              <w:rPr/>
              <w:t>​</w:t>
            </w:r>
          </w:p>
        </w:tc>
        <w:tc>
          <w:tcPr>
            <w:tcW w:w="267"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24"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1,423,757</w:t>
            </w:r>
          </w:p>
        </w:tc>
        <w:tc>
          <w:tcPr>
            <w:tcW w:w="326" w:type="dxa"/>
            <w:tcBorders/>
            <w:shd w:fill="auto" w:val="clear"/>
            <w:vAlign w:val="center"/>
          </w:tcPr>
          <w:p>
            <w:pPr>
              <w:pStyle w:val="TableContents"/>
              <w:spacing w:before="0" w:after="0"/>
              <w:ind w:left="0" w:right="0" w:hanging="0"/>
              <w:rPr/>
            </w:pPr>
            <w:r>
              <w:rPr/>
              <w:t>​</w:t>
            </w:r>
          </w:p>
        </w:tc>
        <w:tc>
          <w:tcPr>
            <w:tcW w:w="32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78"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5,944</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60" w:hanging="0"/>
              <w:jc w:val="right"/>
              <w:rPr/>
            </w:pPr>
            <w:r>
              <w:rPr/>
              <w:t>—</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2023 and 2022, realized gains or losses recognized on the sale of investments were not significant.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Company’s investments at March 31, 2023 and December 31, 2022 carried investment grade credit ratings.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1040" w:name="Tc_zjWYE_uQp0iFKTeaEPPOHg_17_11"/>
      <w:bookmarkStart w:id="1041" w:name="Tc_kY1XXtQ-GU6JuEVbOIPZaQ_17_8"/>
      <w:bookmarkStart w:id="1042" w:name="Tc_vZ0JgY1xIUqsNgQrkJ-7aw_17_5"/>
      <w:bookmarkStart w:id="1043" w:name="Tc_h5AWE0O-JU-O43GFsG7CbQ_17_2"/>
      <w:bookmarkStart w:id="1044" w:name="Tc_QsWR-3TQPECU7Ts_ZVTrXA_17_0"/>
      <w:bookmarkStart w:id="1045" w:name="Tc_mfS4q7RJBEaTpTs8oNP5_g_16_6"/>
      <w:bookmarkStart w:id="1046" w:name="Tc_moiBtGRQBkCf6meBPdzSKA_16_3"/>
      <w:bookmarkStart w:id="1047" w:name="Tc_4eJjTtmU1EmnlIZfDQSbwg_16_0"/>
      <w:bookmarkStart w:id="1048" w:name="Tc_lS5GDgaxhEG_kHBT50O3Yw_15_0"/>
      <w:bookmarkStart w:id="1049" w:name="Tc_5cixViuIlkGYVIPFfF_23A_14_12"/>
      <w:bookmarkStart w:id="1050" w:name="Tc_-4IONpdzpkeIp_Iinl_EMQ_14_9"/>
      <w:bookmarkStart w:id="1051" w:name="Tc_EEAU85V6REKXdMH7f0gKkw_14_0"/>
      <w:bookmarkStart w:id="1052" w:name="Tc_87d5738wyUmBkeuZFybQXw_13_6"/>
      <w:bookmarkStart w:id="1053" w:name="Tc_dX5EciJgoUaFDydtc7dRXg_13_3"/>
      <w:bookmarkStart w:id="1054" w:name="Tc_KQ-7BOsAO0-5s9vyk5v0QA_13_0"/>
      <w:bookmarkStart w:id="1055" w:name="Tc_Z26RvF35I0iBM3ju3hVssg_12_0"/>
      <w:bookmarkStart w:id="1056" w:name="Tc_npHY6QL5KkmaPTYaqELApA_11_0"/>
      <w:bookmarkStart w:id="1057" w:name="Tc_RjcXqs-oUkCyeVxST4L9Bw_10_0"/>
      <w:bookmarkStart w:id="1058" w:name="Tc_NC4cQR_Ofkq0wvHE2y7B9w_9_12"/>
      <w:bookmarkStart w:id="1059" w:name="Tc_k1J6FvG6M0WOB1_2A_pnOA_9_9"/>
      <w:bookmarkStart w:id="1060" w:name="Tc_peNG2a3uj0ms5hO00Sd0AQ_9_0"/>
      <w:bookmarkStart w:id="1061" w:name="Tc_AeBTwZVSmkm8jKeTUq33fA_8_0"/>
      <w:bookmarkStart w:id="1062" w:name="Tc_ueVi3XyKNEOhOSO8oINjIQ_7_0"/>
      <w:bookmarkStart w:id="1063" w:name="Tc_6sa_VxPWTUmpHX0gvWJ2WA_6_0"/>
      <w:bookmarkStart w:id="1064" w:name="Tc_On7izSCbFkCeW4PuPAshmg_5_0"/>
      <w:bookmarkStart w:id="1065" w:name="Tc_JevRwK2Gtk2S4BcNk0fnDg_4_11"/>
      <w:bookmarkStart w:id="1066" w:name="Tc_6Lh9r-c8W0e-pTHLupr3hg_4_8"/>
      <w:bookmarkStart w:id="1067" w:name="Tc_Toc97MZx3Euupm_nHd0kPQ_4_5"/>
      <w:bookmarkStart w:id="1068" w:name="Tc_W0TVf74LcUOzOABTyLfiIg_4_2"/>
      <w:bookmarkStart w:id="1069" w:name="Tc_wyj0zEr2IEiUTXgYVu2KFQ_4_0"/>
      <w:bookmarkStart w:id="1070" w:name="Tc_-Pc28y9Tzkq8yAUSdFHt2A_3_0"/>
      <w:bookmarkStart w:id="1071" w:name="Tc_IO9FYTjcAEi4mT_7ZFPhLQ_2_11"/>
      <w:bookmarkStart w:id="1072" w:name="Tc_gLGWuuNWN0u3AHs0p-6Vkw_2_8"/>
      <w:bookmarkStart w:id="1073" w:name="Tc_Y_ef8fy7jUe0gh5JA1V3dw_2_5"/>
      <w:bookmarkStart w:id="1074" w:name="Tc_hiixE2sIXkOe5frvIF-tdw_2_2"/>
      <w:bookmarkStart w:id="1075" w:name="Tc_DI3fJy40z0aylG18vpNTHg_1_8"/>
      <w:bookmarkStart w:id="1076" w:name="Tc_wauQaTthVkaOr98De1QvVQ_1_2"/>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r>
        <w:rPr>
          <w:rFonts w:ascii="Times New Roman;Times;serif" w:hAnsi="Times New Roman;Times;serif"/>
          <w:sz w:val="20"/>
        </w:rPr>
        <w:t>The following table summarizes the underlying contractual maturities of the Company’s investments at:</w:t>
      </w:r>
    </w:p>
    <w:p>
      <w:pPr>
        <w:pStyle w:val="TextBody"/>
        <w:spacing w:before="0" w:after="0"/>
        <w:ind w:left="0" w:right="0" w:firstLine="720"/>
        <w:jc w:val="both"/>
        <w:rPr/>
      </w:pPr>
      <w:r>
        <w:rPr/>
        <w:t>​</w:t>
      </w:r>
    </w:p>
    <w:tbl>
      <w:tblPr>
        <w:tblW w:w="9366" w:type="dxa"/>
        <w:jc w:val="left"/>
        <w:tblInd w:w="0" w:type="dxa"/>
        <w:tblCellMar>
          <w:top w:w="0" w:type="dxa"/>
          <w:left w:w="0" w:type="dxa"/>
          <w:bottom w:w="0" w:type="dxa"/>
          <w:right w:w="0" w:type="dxa"/>
        </w:tblCellMar>
      </w:tblPr>
      <w:tblGrid>
        <w:gridCol w:w="2911"/>
        <w:gridCol w:w="326"/>
        <w:gridCol w:w="255"/>
        <w:gridCol w:w="1126"/>
        <w:gridCol w:w="326"/>
        <w:gridCol w:w="211"/>
        <w:gridCol w:w="931"/>
        <w:gridCol w:w="326"/>
        <w:gridCol w:w="255"/>
        <w:gridCol w:w="1126"/>
        <w:gridCol w:w="326"/>
        <w:gridCol w:w="211"/>
        <w:gridCol w:w="103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07010" cy="175260"/>
                      <wp:effectExtent l="0" t="0" r="0" b="0"/>
                      <wp:wrapNone/>
                      <wp:docPr id="214" name="Frame21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1925" cy="175260"/>
                      <wp:effectExtent l="0" t="0" r="0" b="0"/>
                      <wp:wrapNone/>
                      <wp:docPr id="215" name="Frame215"/>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715010" cy="175260"/>
                      <wp:effectExtent l="0" t="0" r="0" b="0"/>
                      <wp:wrapNone/>
                      <wp:docPr id="216" name="Frame216"/>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33985" cy="175260"/>
                      <wp:effectExtent l="0" t="0" r="0" b="0"/>
                      <wp:wrapNone/>
                      <wp:docPr id="218" name="Frame21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591185" cy="175260"/>
                      <wp:effectExtent l="0" t="0" r="0" b="0"/>
                      <wp:wrapNone/>
                      <wp:docPr id="219" name="Frame219"/>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61925" cy="175260"/>
                      <wp:effectExtent l="0" t="0" r="0" b="0"/>
                      <wp:wrapNone/>
                      <wp:docPr id="221" name="Frame221"/>
                      <a:graphic xmlns:a="http://schemas.openxmlformats.org/drawingml/2006/main">
                        <a:graphicData uri="http://schemas.microsoft.com/office/word/2010/wordprocessingShape">
                          <wps:wsp>
                            <wps:cNvSpPr txBox="1"/>
                            <wps:spPr>
                              <a:xfrm>
                                <a:off x="0" y="0"/>
                                <a:ext cx="161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15010" cy="175260"/>
                      <wp:effectExtent l="0" t="0" r="0" b="0"/>
                      <wp:wrapNone/>
                      <wp:docPr id="222" name="Frame222"/>
                      <a:graphic xmlns:a="http://schemas.openxmlformats.org/drawingml/2006/main">
                        <a:graphicData uri="http://schemas.microsoft.com/office/word/2010/wordprocessingShape">
                          <wps:wsp>
                            <wps:cNvSpPr txBox="1"/>
                            <wps:spPr>
                              <a:xfrm>
                                <a:off x="0" y="0"/>
                                <a:ext cx="715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3" name="Frame22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33985" cy="175260"/>
                      <wp:effectExtent l="0" t="0" r="0" b="0"/>
                      <wp:wrapNone/>
                      <wp:docPr id="224" name="Frame22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57860" cy="175260"/>
                      <wp:effectExtent l="0" t="0" r="0" b="0"/>
                      <wp:wrapNone/>
                      <wp:docPr id="225" name="Frame225"/>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849"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w:t>
            </w:r>
          </w:p>
        </w:tc>
        <w:tc>
          <w:tcPr>
            <w:tcW w:w="295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c>
          <w:tcPr>
            <w:tcW w:w="326" w:type="dxa"/>
            <w:tcBorders/>
            <w:shd w:fill="auto" w:val="clear"/>
            <w:vAlign w:val="center"/>
          </w:tcPr>
          <w:p>
            <w:pPr>
              <w:pStyle w:val="TableContents"/>
              <w:spacing w:before="0" w:after="0"/>
              <w:ind w:left="0" w:right="0" w:hanging="0"/>
              <w:rPr/>
            </w:pPr>
            <w:r>
              <w:rPr/>
              <w:t>    </w:t>
            </w:r>
          </w:p>
        </w:tc>
        <w:tc>
          <w:tcPr>
            <w:tcW w:w="13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Amortized Cost</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than 1 year:</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296,708</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296,708</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197,712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197,710</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129,779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129,574</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211,791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211,239</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129,605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129,308</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109,697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108,985</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12,630</w:t>
            </w:r>
          </w:p>
        </w:tc>
        <w:tc>
          <w:tcPr>
            <w:tcW w:w="326" w:type="dxa"/>
            <w:tcBorders/>
            <w:shd w:fill="CCEEFF" w:val="clear"/>
            <w:vAlign w:val="center"/>
          </w:tcPr>
          <w:p>
            <w:pPr>
              <w:pStyle w:val="TableContents"/>
              <w:spacing w:before="0" w:after="0"/>
              <w:ind w:left="0" w:right="0" w:hanging="0"/>
              <w:rPr/>
            </w:pPr>
            <w:r>
              <w:rPr/>
              <w:t> </w:t>
            </w:r>
          </w:p>
        </w:tc>
        <w:tc>
          <w:tcPr>
            <w:tcW w:w="255" w:type="dxa"/>
            <w:tcBorders/>
            <w:shd w:fill="CCEEFF" w:val="clear"/>
            <w:vAlign w:val="center"/>
          </w:tcPr>
          <w:p>
            <w:pPr>
              <w:pStyle w:val="TableContents"/>
              <w:spacing w:before="0" w:after="0"/>
              <w:ind w:left="0" w:right="0" w:hanging="0"/>
              <w:rPr/>
            </w:pPr>
            <w:r>
              <w:rPr/>
              <w:t> </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744,403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742,379</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838,825</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834,302</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72,536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72,429</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Due 1 -10 years: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28,996</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28,971</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53,215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53,164</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10,430</w:t>
            </w:r>
          </w:p>
        </w:tc>
        <w:tc>
          <w:tcPr>
            <w:tcW w:w="326" w:type="dxa"/>
            <w:tcBorders/>
            <w:shd w:fill="auto" w:val="clear"/>
            <w:vAlign w:val="center"/>
          </w:tcPr>
          <w:p>
            <w:pPr>
              <w:pStyle w:val="TableContents"/>
              <w:spacing w:before="0" w:after="0"/>
              <w:ind w:left="0" w:right="0" w:hanging="0"/>
              <w:rPr/>
            </w:pPr>
            <w:r>
              <w:rPr/>
              <w:t> </w:t>
            </w:r>
          </w:p>
        </w:tc>
        <w:tc>
          <w:tcPr>
            <w:tcW w:w="255" w:type="dxa"/>
            <w:tcBorders/>
            <w:shd w:fill="auto" w:val="clear"/>
            <w:vAlign w:val="center"/>
          </w:tcPr>
          <w:p>
            <w:pPr>
              <w:pStyle w:val="TableContents"/>
              <w:spacing w:before="0" w:after="0"/>
              <w:ind w:left="0" w:right="0" w:hanging="0"/>
              <w:rPr/>
            </w:pPr>
            <w:r>
              <w:rPr/>
              <w:t> </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2,013</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4,862</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1,751</w:t>
            </w:r>
          </w:p>
        </w:tc>
        <w:tc>
          <w:tcPr>
            <w:tcW w:w="326" w:type="dxa"/>
            <w:tcBorders/>
            <w:shd w:fill="auto" w:val="clear"/>
            <w:vAlign w:val="center"/>
          </w:tcPr>
          <w:p>
            <w:pPr>
              <w:pStyle w:val="TableContents"/>
              <w:spacing w:before="0" w:after="0"/>
              <w:ind w:left="0" w:right="0" w:hanging="0"/>
              <w:rPr/>
            </w:pPr>
            <w:r>
              <w:rPr/>
              <w:t>​</w:t>
            </w:r>
          </w:p>
        </w:tc>
        <w:tc>
          <w:tcPr>
            <w:tcW w:w="255" w:type="dxa"/>
            <w:tcBorders/>
            <w:shd w:fill="auto" w:val="clear"/>
            <w:vAlign w:val="center"/>
          </w:tcPr>
          <w:p>
            <w:pPr>
              <w:pStyle w:val="TableContents"/>
              <w:spacing w:before="0" w:after="0"/>
              <w:ind w:left="0" w:right="0" w:hanging="0"/>
              <w:rPr/>
            </w:pPr>
            <w:r>
              <w:rPr/>
              <w:t>​</w:t>
            </w:r>
          </w:p>
        </w:tc>
        <w:tc>
          <w:tcPr>
            <w:tcW w:w="112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Due 11 - 20 years:</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55" w:type="dxa"/>
            <w:tcBorders/>
            <w:shd w:fill="CCEEFF" w:val="clear"/>
            <w:vAlign w:val="center"/>
          </w:tcPr>
          <w:p>
            <w:pPr>
              <w:pStyle w:val="TableContents"/>
              <w:spacing w:before="0" w:after="0"/>
              <w:ind w:left="0" w:right="0" w:hanging="0"/>
              <w:rPr/>
            </w:pPr>
            <w:r>
              <w:rPr/>
              <w:t>​</w:t>
            </w:r>
          </w:p>
        </w:tc>
        <w:tc>
          <w:tcPr>
            <w:tcW w:w="112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auto" w:val="clear"/>
            <w:vAlign w:val="center"/>
          </w:tcPr>
          <w:p>
            <w:pPr>
              <w:pStyle w:val="TableContents"/>
              <w:spacing w:before="0" w:after="0"/>
              <w:ind w:left="0" w:right="0" w:hanging="0"/>
              <w:rPr/>
            </w:pPr>
            <w:r>
              <w:rPr/>
              <w:t>​</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5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12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spacing w:before="0" w:after="0"/>
              <w:ind w:left="0" w:right="0" w:hanging="0"/>
              <w:rPr/>
            </w:pPr>
            <w:r>
              <w:rPr/>
              <w:t>​</w:t>
            </w:r>
          </w:p>
        </w:tc>
        <w:tc>
          <w:tcPr>
            <w:tcW w:w="25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1,426,842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1,424,180</w:t>
            </w:r>
          </w:p>
        </w:tc>
        <w:tc>
          <w:tcPr>
            <w:tcW w:w="326" w:type="dxa"/>
            <w:tcBorders/>
            <w:shd w:fill="CCEEFF" w:val="clear"/>
            <w:vAlign w:val="center"/>
          </w:tcPr>
          <w:p>
            <w:pPr>
              <w:pStyle w:val="TableContents"/>
              <w:spacing w:before="0" w:after="0"/>
              <w:ind w:left="0" w:right="0" w:hanging="0"/>
              <w:rPr/>
            </w:pPr>
            <w:r>
              <w:rPr/>
              <w:t> </w:t>
            </w:r>
          </w:p>
        </w:tc>
        <w:tc>
          <w:tcPr>
            <w:tcW w:w="25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1,429,600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1,423,757</w:t>
            </w:r>
          </w:p>
        </w:tc>
      </w:tr>
    </w:tbl>
    <w:p>
      <w:pPr>
        <w:pStyle w:val="TextBody"/>
        <w:spacing w:before="0" w:after="0"/>
        <w:ind w:left="0" w:right="0" w:hanging="0"/>
        <w:rPr/>
      </w:pPr>
      <w:r>
        <w:rPr/>
        <w:t>​</w:t>
      </w:r>
    </w:p>
    <w:p>
      <w:pPr>
        <w:pStyle w:val="TextBody"/>
        <w:spacing w:before="0" w:after="0"/>
        <w:ind w:left="0" w:right="0" w:hanging="0"/>
        <w:rPr/>
      </w:pPr>
      <w:r>
        <w:rPr/>
        <w:t>​</w:t>
      </w:r>
    </w:p>
    <w:tbl>
      <w:tblPr>
        <w:tblW w:w="6107" w:type="dxa"/>
        <w:jc w:val="left"/>
        <w:tblInd w:w="0" w:type="dxa"/>
        <w:tblCellMar>
          <w:top w:w="0" w:type="dxa"/>
          <w:left w:w="0" w:type="dxa"/>
          <w:bottom w:w="0" w:type="dxa"/>
          <w:right w:w="0" w:type="dxa"/>
        </w:tblCellMar>
      </w:tblPr>
      <w:tblGrid>
        <w:gridCol w:w="271"/>
        <w:gridCol w:w="5836"/>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5.</w:t>
            </w:r>
          </w:p>
        </w:tc>
        <w:tc>
          <w:tcPr>
            <w:tcW w:w="583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FAIR VALUE OF CERTAIN FINANCIAL ASSETS AND LIABILITIES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“Fair Value Measurement”,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tbl>
      <w:tblPr>
        <w:tblW w:w="6441" w:type="dxa"/>
        <w:jc w:val="left"/>
        <w:tblInd w:w="0" w:type="dxa"/>
        <w:tblCellMar>
          <w:top w:w="28" w:type="dxa"/>
          <w:left w:w="28" w:type="dxa"/>
          <w:bottom w:w="28" w:type="dxa"/>
          <w:right w:w="28" w:type="dxa"/>
        </w:tblCellMar>
      </w:tblPr>
      <w:tblGrid>
        <w:gridCol w:w="124"/>
        <w:gridCol w:w="256"/>
        <w:gridCol w:w="60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061"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Quoted prices in active markets for identical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Level 2: </w:t>
            </w:r>
            <w:r>
              <w:rPr>
                <w:rFonts w:ascii="Times New Roman;Times;serif" w:hAnsi="Times New Roman;Times;serif"/>
                <w:b w:val="false"/>
                <w:i w:val="false"/>
                <w:caps w:val="false"/>
                <w:smallCaps w:val="false"/>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i w:val="false"/>
                <w:caps w:val="false"/>
                <w:smallCaps w:val="false"/>
                <w:sz w:val="20"/>
              </w:rPr>
              <w:t xml:space="preserve">Level 3: </w:t>
            </w:r>
            <w:r>
              <w:rPr>
                <w:rFonts w:ascii="Times New Roman;Times;serif" w:hAnsi="Times New Roman;Times;serif"/>
                <w:b w:val="false"/>
                <w:i w:val="false"/>
                <w:caps w:val="false"/>
                <w:smallCaps w:val="false"/>
                <w:sz w:val="20"/>
              </w:rPr>
              <w:t>Unobservable inputs that are supported by little or no market activity and that are significant to the fair value of the assets or liabilities.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ASC 820 requires the use of observable market inputs (quoted market prices) when measuring fair value and requires a Level 1 quoted price to be used to measure fair value whenever possible.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1077" w:name="Tc_On8GgcOj1k6E77B-wz1-kQ_19_11"/>
      <w:bookmarkStart w:id="1078" w:name="Tc_k7whUY-hmUCibixS-cjIxQ_19_8"/>
      <w:bookmarkStart w:id="1079" w:name="Tc_6GQfzOV_mUC7a4LozxPKsA_19_5"/>
      <w:bookmarkStart w:id="1080" w:name="Tc_GfnrSSm1TEKljOMtT8YqEQ_19_2"/>
      <w:bookmarkStart w:id="1081" w:name="Tc_j4ZaNK01tkGGl0rmSNDWSA_19_0"/>
      <w:bookmarkStart w:id="1082" w:name="Tc_R3tN5C4T3EKL7nK5uV7N1w_18_0"/>
      <w:bookmarkStart w:id="1083" w:name="Tc_5VdhnRjA20acCdnHV0qugg_17_0"/>
      <w:bookmarkStart w:id="1084" w:name="Tc_Tpae9qPiW0Ge_8rZ5sTKkA_16_0"/>
      <w:bookmarkStart w:id="1085" w:name="Tc_WoXMZ_ASbUO6aP-csAjKVA_15_0"/>
      <w:bookmarkStart w:id="1086" w:name="Tc_1mgIL2Ye1EuFKPJjUxoIgA_14_11"/>
      <w:bookmarkStart w:id="1087" w:name="Tc_Y3tz5cJF_U2cebtOhUlWdQ_14_8"/>
      <w:bookmarkStart w:id="1088" w:name="Tc__f_Ej9cMUUu-BNJewUoPFQ_14_5"/>
      <w:bookmarkStart w:id="1089" w:name="Tc_pqNsmi7EkEiXqXQZUW7euQ_14_2"/>
      <w:bookmarkStart w:id="1090" w:name="Tc_EdSXB3oyXEC7KMIGdD_TbQ_14_0"/>
      <w:bookmarkStart w:id="1091" w:name="Tc_idwiYbpBq0eRMLIeZfiKmA_13_0"/>
      <w:bookmarkStart w:id="1092" w:name="Tc_6sII9whRP0eDaKIfL9oaMg_11_11"/>
      <w:bookmarkStart w:id="1093" w:name="Tc_cqdu6B9D30SA8ahKI9Smxg_11_8"/>
      <w:bookmarkStart w:id="1094" w:name="Tc_u1DVRH_spUq93z5O_IKnFQ_11_5"/>
      <w:bookmarkStart w:id="1095" w:name="Tc_XDDU8gJKpkSzwVcx7oS_ng_11_2"/>
      <w:bookmarkStart w:id="1096" w:name="Tc_CLMRrFKfrUuVpVb105qFZg_11_0"/>
      <w:bookmarkStart w:id="1097" w:name="Tc_6JpfgjspTEuw6PdrBppQ3w_10_0"/>
      <w:bookmarkStart w:id="1098" w:name="Tc_Li-P4RnenUmUo_Y-OHKYyQ_9_0"/>
      <w:bookmarkStart w:id="1099" w:name="Tc_6d5pKMAlB0ey00iFwMc6EQ_8_0"/>
      <w:bookmarkStart w:id="1100" w:name="Tc_5ELUaCISVUul_r7dDz7rHw_7_0"/>
      <w:bookmarkStart w:id="1101" w:name="Tc_shJYw_2okUmmhkdGQXmsHQ_6_9"/>
      <w:bookmarkStart w:id="1102" w:name="Tc_ihzEpZwnQEaa-NCJZbpIYw_6_3"/>
      <w:bookmarkStart w:id="1103" w:name="Tc_cItTwG43UkeMO9Dl_5aSAA_6_0"/>
      <w:bookmarkStart w:id="1104" w:name="Tc_e4mkvOhLSkqByXBdvyEs-Q_5_0"/>
      <w:bookmarkStart w:id="1105" w:name="Tc_1lRmB0pkwEKWvdfmsxWhcQ_4_0"/>
      <w:bookmarkStart w:id="1106" w:name="Tc_VKET3IA9dkiQW19LKLjiqQ_3_0"/>
      <w:bookmarkStart w:id="1107" w:name="Tc_h7Dp83CBPkiX7q1gKIybyw_2_11"/>
      <w:bookmarkStart w:id="1108" w:name="Tc_4u_DlSVHjkq6KmWpzHsNKg_2_8"/>
      <w:bookmarkStart w:id="1109" w:name="Tc_VkLsTqxcGEK4SVLq22kH3w_2_5"/>
      <w:bookmarkStart w:id="1110" w:name="Tc_zhm8UFwl306cDThLPPfOcw_2_2"/>
      <w:bookmarkStart w:id="1111" w:name="Tc_SLRYw3GKhEitbkaht0yjWA_2_0"/>
      <w:bookmarkStart w:id="1112" w:name="Tc_FwAjQ4BIpkm_qsFZcqU4uQ_1_11"/>
      <w:bookmarkStart w:id="1113" w:name="Tc_FD3Z8xot906sOkR1PB4VlA_1_8"/>
      <w:bookmarkStart w:id="1114" w:name="Tc_zDoKKRz85Eq7IAMUJ8EjYA_1_5"/>
      <w:bookmarkStart w:id="1115" w:name="Tc_efmN9pgixU6raYCSTEHilg_1_2"/>
      <w:bookmarkStart w:id="1116" w:name="Tc_wAhoxmAS40SwZP_rRCGJ1g_1_0"/>
      <w:bookmarkStart w:id="1117" w:name="_c899e345_8a9f_4227_b79e_3e69ce4878b9"/>
      <w:bookmarkStart w:id="1118" w:name="Tc_rRrpHXfBv0mPnJGqpd350A_19_11"/>
      <w:bookmarkStart w:id="1119" w:name="Tc_2sYrF_k5_UumMdzRIwu_yg_19_8"/>
      <w:bookmarkStart w:id="1120" w:name="Tc_C5_R2BzWREud66_QfuOIOw_19_5"/>
      <w:bookmarkStart w:id="1121" w:name="Tc_3s6wYUZb-Ey7Hz8BZFnhOA_19_2"/>
      <w:bookmarkStart w:id="1122" w:name="Tc_AX-473Vj8UWEx7JymE_S4g_19_0"/>
      <w:bookmarkStart w:id="1123" w:name="Tc_VIQRWU1EAkicjwIDIBNSww_18_0"/>
      <w:bookmarkStart w:id="1124" w:name="Tc_U7A21MctMkeIQI7sHmFPOQ_17_0"/>
      <w:bookmarkStart w:id="1125" w:name="Tc_-bcOuqsKfEulvjqdTMbI2w_16_0"/>
      <w:bookmarkStart w:id="1126" w:name="Tc_KQ_JTHPZjkGnleFGWBL80w_15_0"/>
      <w:bookmarkStart w:id="1127" w:name="Tc_Ot1hqP_i60qfeMaSIbqHVg_14_11"/>
      <w:bookmarkStart w:id="1128" w:name="Tc_E6rN9F0BPkSLtprUqG5HXQ_14_8"/>
      <w:bookmarkStart w:id="1129" w:name="Tc_KneWKadBAE29-kiaptc-HA_14_5"/>
      <w:bookmarkStart w:id="1130" w:name="Tc_UZmkSAhsREyO9AOcih1dMw_14_2"/>
      <w:bookmarkStart w:id="1131" w:name="Tc_CzxoWof0A0O3VTdErs6r1g_14_0"/>
      <w:bookmarkStart w:id="1132" w:name="Tc_UHagBAweakKcge52N91Lnw_13_0"/>
      <w:bookmarkStart w:id="1133" w:name="Tc_SdzSqiiBx02LwtgsWugvig_11_11"/>
      <w:bookmarkStart w:id="1134" w:name="Tc_OBG5nLVhxE6GPFnfQengYA_11_8"/>
      <w:bookmarkStart w:id="1135" w:name="Tc_tFe8JQoUI0OeZ3fpv52HTA_11_5"/>
      <w:bookmarkStart w:id="1136" w:name="Tc_AJmS2ixUO06OJBPOpkFVUQ_11_2"/>
      <w:bookmarkStart w:id="1137" w:name="Tc_YRS_fbnYY0WO7U059eksrw_11_0"/>
      <w:bookmarkStart w:id="1138" w:name="Tc_tSDhZFleiUGsik-6dbm4Rg_10_0"/>
      <w:bookmarkStart w:id="1139" w:name="Tc_OdUqZKHFcUOKZANeqdYVLA_9_0"/>
      <w:bookmarkStart w:id="1140" w:name="Tc_Hi7S98gjvEyrdBSmhvksCg_8_0"/>
      <w:bookmarkStart w:id="1141" w:name="Tc_uXRUp4Nek0uNGuJ-BzSpPg_7_0"/>
      <w:bookmarkStart w:id="1142" w:name="Tc_W-DJHIiEk0-06ZZxstPHsQ_6_0"/>
      <w:bookmarkStart w:id="1143" w:name="Tc_OD-OKaMTaEKzgf0PU_gq9A_5_0"/>
      <w:bookmarkStart w:id="1144" w:name="Tc_-IfKKQD9KU6sbMk_L1rqxQ_4_0"/>
      <w:bookmarkStart w:id="1145" w:name="Tc_zK3n8IMM302z1-xji9o7nA_3_0"/>
      <w:bookmarkStart w:id="1146" w:name="Tc_U1RheIdYvkOXKZIjk1jIkg_2_11"/>
      <w:bookmarkStart w:id="1147" w:name="Tc_l_brxl6qSkmh3m_ML5BxXw_2_8"/>
      <w:bookmarkStart w:id="1148" w:name="Tc_0W4Afj4HI02dl6vwcwl3Ng_2_5"/>
      <w:bookmarkStart w:id="1149" w:name="Tc_UtEYJZAvfE-54DJWRZmjng_2_2"/>
      <w:bookmarkStart w:id="1150" w:name="Tc_Z2Zh6R3eBkS1l9mhoEYOlQ_2_0"/>
      <w:bookmarkStart w:id="1151" w:name="Tc_LjrAujkznUmbekh6JMY1ig_1_11"/>
      <w:bookmarkStart w:id="1152" w:name="Tc_dng_QU0trECAho2331duOA_1_8"/>
      <w:bookmarkStart w:id="1153" w:name="Tc_fWSa-WwQj0iQ4xHHry1vMg_1_5"/>
      <w:bookmarkStart w:id="1154" w:name="Tc_XhhaoPrzd0q8rIxVt5WKFQ_1_2"/>
      <w:bookmarkStart w:id="1155" w:name="Tc_60c1N5fcz0aniDejc6vjVA_1_0"/>
      <w:bookmarkStart w:id="1156" w:name="_28b21def_c64e_419b_9475_3e21586523d5"/>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r>
        <w:rPr>
          <w:rFonts w:ascii="Times New Roman;Times;serif" w:hAnsi="Times New Roman;Times;serif"/>
          <w:sz w:val="20"/>
        </w:rPr>
        <w:t>The following tables present the fair value of the Company’s financial assets and liabilities that are recorded at fair value on a recurring basis, segregated among the appropriate levels within the fair value hierarchy at:</w:t>
      </w:r>
    </w:p>
    <w:p>
      <w:pPr>
        <w:pStyle w:val="TextBody"/>
        <w:spacing w:before="0" w:after="0"/>
        <w:ind w:left="0" w:right="0" w:firstLine="720"/>
        <w:jc w:val="both"/>
        <w:rPr/>
      </w:pPr>
      <w:r>
        <w:rPr/>
        <w:t>​</w:t>
      </w:r>
    </w:p>
    <w:tbl>
      <w:tblPr>
        <w:tblW w:w="8467" w:type="dxa"/>
        <w:jc w:val="left"/>
        <w:tblInd w:w="0" w:type="dxa"/>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6" name="Frame22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33985" cy="175260"/>
                      <wp:effectExtent l="0" t="0" r="0" b="0"/>
                      <wp:wrapNone/>
                      <wp:docPr id="227" name="Frame22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91185" cy="175260"/>
                      <wp:effectExtent l="0" t="0" r="0" b="0"/>
                      <wp:wrapNone/>
                      <wp:docPr id="228" name="Frame228"/>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9" name="Frame2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33985" cy="175260"/>
                      <wp:effectExtent l="0" t="0" r="0" b="0"/>
                      <wp:wrapNone/>
                      <wp:docPr id="230" name="Frame23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91185" cy="175260"/>
                      <wp:effectExtent l="0" t="0" r="0" b="0"/>
                      <wp:wrapNone/>
                      <wp:docPr id="231" name="Frame23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32" name="Frame2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3355" cy="175260"/>
                      <wp:effectExtent l="0" t="0" r="0" b="0"/>
                      <wp:wrapNone/>
                      <wp:docPr id="233" name="Frame233"/>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84480" cy="175260"/>
                      <wp:effectExtent l="0" t="0" r="0" b="0"/>
                      <wp:wrapNone/>
                      <wp:docPr id="234" name="Frame234"/>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57860" cy="175260"/>
                      <wp:effectExtent l="0" t="0" r="0" b="0"/>
                      <wp:wrapNone/>
                      <wp:docPr id="237" name="Frame237"/>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March 31, 2023</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jc w:val="center"/>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jc w:val="center"/>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jc w:val="center"/>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886,785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886,785</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713,009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713,009</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Certificates of deposit </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41,050</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41,050</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310,774</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310,774</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bonds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74,180</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74,180</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129,574</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129,574</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151,678</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151,678</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U.S. treasuries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789,790</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789,790</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1,599,794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1,497,123</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3,096,917</w:t>
            </w:r>
          </w:p>
        </w:tc>
      </w:tr>
      <w:tr>
        <w:trPr/>
        <w:tc>
          <w:tcPr>
            <w:tcW w:w="29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1,599,794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72,866</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1,672,660</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1,383,028</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1,383,028</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382</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41,152</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41,152</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1,599,794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1,497,123</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3,096,917</w:t>
            </w:r>
          </w:p>
        </w:tc>
      </w:tr>
    </w:tbl>
    <w:p>
      <w:pPr>
        <w:pStyle w:val="TextBody"/>
        <w:spacing w:before="0" w:after="0"/>
        <w:ind w:left="0" w:right="0" w:firstLine="720"/>
        <w:jc w:val="both"/>
        <w:rPr/>
      </w:pPr>
      <w:r>
        <w:rPr/>
        <w:t>​</w:t>
      </w:r>
    </w:p>
    <w:tbl>
      <w:tblPr>
        <w:tblW w:w="8467" w:type="dxa"/>
        <w:jc w:val="left"/>
        <w:tblInd w:w="0" w:type="dxa"/>
        <w:tblCellMar>
          <w:top w:w="0" w:type="dxa"/>
          <w:left w:w="0" w:type="dxa"/>
          <w:bottom w:w="0" w:type="dxa"/>
          <w:right w:w="0" w:type="dxa"/>
        </w:tblCellMar>
      </w:tblPr>
      <w:tblGrid>
        <w:gridCol w:w="2911"/>
        <w:gridCol w:w="326"/>
        <w:gridCol w:w="211"/>
        <w:gridCol w:w="931"/>
        <w:gridCol w:w="326"/>
        <w:gridCol w:w="211"/>
        <w:gridCol w:w="931"/>
        <w:gridCol w:w="326"/>
        <w:gridCol w:w="273"/>
        <w:gridCol w:w="448"/>
        <w:gridCol w:w="326"/>
        <w:gridCol w:w="211"/>
        <w:gridCol w:w="1036"/>
      </w:tblGrid>
      <w:tr>
        <w:trPr/>
        <w:tc>
          <w:tcPr>
            <w:tcW w:w="29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91185" cy="175260"/>
                      <wp:effectExtent l="0" t="0" r="0" b="0"/>
                      <wp:wrapNone/>
                      <wp:docPr id="240" name="Frame24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07010" cy="175260"/>
                      <wp:effectExtent l="0" t="0" r="0" b="0"/>
                      <wp:wrapNone/>
                      <wp:docPr id="241" name="Frame2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1185" cy="175260"/>
                      <wp:effectExtent l="0" t="0" r="0" b="0"/>
                      <wp:wrapNone/>
                      <wp:docPr id="243" name="Frame24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4" name="Frame2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73355" cy="175260"/>
                      <wp:effectExtent l="0" t="0" r="0" b="0"/>
                      <wp:wrapNone/>
                      <wp:docPr id="245" name="Frame245"/>
                      <a:graphic xmlns:a="http://schemas.openxmlformats.org/drawingml/2006/main">
                        <a:graphicData uri="http://schemas.microsoft.com/office/word/2010/wordprocessingShape">
                          <wps:wsp>
                            <wps:cNvSpPr txBox="1"/>
                            <wps:spPr>
                              <a:xfrm>
                                <a:off x="0" y="0"/>
                                <a:ext cx="1733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84480" cy="175260"/>
                      <wp:effectExtent l="0" t="0" r="0" b="0"/>
                      <wp:wrapNone/>
                      <wp:docPr id="246" name="Frame246"/>
                      <a:graphic xmlns:a="http://schemas.openxmlformats.org/drawingml/2006/main">
                        <a:graphicData uri="http://schemas.microsoft.com/office/word/2010/wordprocessingShape">
                          <wps:wsp>
                            <wps:cNvSpPr txBox="1"/>
                            <wps:spPr>
                              <a:xfrm>
                                <a:off x="0" y="0"/>
                                <a:ext cx="2844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33985" cy="175260"/>
                      <wp:effectExtent l="0" t="0" r="0" b="0"/>
                      <wp:wrapNone/>
                      <wp:docPr id="248" name="Frame24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7860" cy="175260"/>
                      <wp:effectExtent l="0" t="0" r="0" b="0"/>
                      <wp:wrapNone/>
                      <wp:docPr id="249" name="Frame249"/>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911"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December 31, 2022</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1</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2</w:t>
            </w:r>
          </w:p>
        </w:tc>
        <w:tc>
          <w:tcPr>
            <w:tcW w:w="326" w:type="dxa"/>
            <w:tcBorders/>
            <w:shd w:fill="auto" w:val="clear"/>
            <w:vAlign w:val="center"/>
          </w:tcPr>
          <w:p>
            <w:pPr>
              <w:pStyle w:val="TableContents"/>
              <w:spacing w:before="0" w:after="0"/>
              <w:ind w:left="0" w:right="0" w:hanging="0"/>
              <w:rPr/>
            </w:pPr>
            <w:r>
              <w:rPr/>
              <w:t>    </w:t>
            </w:r>
          </w:p>
        </w:tc>
        <w:tc>
          <w:tcPr>
            <w:tcW w:w="72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Level 3</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1,132,509</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Money market funds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121,444</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Certificates of deposit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10,078</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Commercial paper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225,067</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Variable rate demand notes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6,266</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Municipal securities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213,798</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government agency securities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113,357</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treasuries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908,379</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derivatives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(3,733)</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2,727,165</w:t>
            </w:r>
          </w:p>
        </w:tc>
      </w:tr>
      <w:tr>
        <w:trPr/>
        <w:tc>
          <w:tcPr>
            <w:tcW w:w="291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Amounts included in:</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pPr>
            <w:r>
              <w:rPr/>
              <w:t>​</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53,188</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1,307,141</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1,362,314</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c>
          <w:tcPr>
            <w:tcW w:w="326" w:type="dxa"/>
            <w:tcBorders/>
            <w:shd w:fill="CCEEFF" w:val="clear"/>
            <w:vAlign w:val="center"/>
          </w:tcPr>
          <w:p>
            <w:pPr>
              <w:pStyle w:val="TableContents"/>
              <w:spacing w:before="0" w:after="0"/>
              <w:ind w:left="0" w:right="0" w:hanging="0"/>
              <w:rPr/>
            </w:pPr>
            <w:r>
              <w:rPr/>
              <w:t>​</w:t>
            </w:r>
          </w:p>
        </w:tc>
        <w:tc>
          <w:tcPr>
            <w:tcW w:w="273" w:type="dxa"/>
            <w:tcBorders/>
            <w:shd w:fill="CCEEFF" w:val="clear"/>
            <w:vAlign w:val="center"/>
          </w:tcPr>
          <w:p>
            <w:pPr>
              <w:pStyle w:val="TableContents"/>
              <w:spacing w:before="0" w:after="0"/>
              <w:ind w:left="0" w:right="0" w:hanging="0"/>
              <w:rPr/>
            </w:pPr>
            <w:r>
              <w:rPr/>
              <w:t> </w:t>
            </w:r>
          </w:p>
        </w:tc>
        <w:tc>
          <w:tcPr>
            <w:tcW w:w="448"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Investments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c>
          <w:tcPr>
            <w:tcW w:w="326" w:type="dxa"/>
            <w:tcBorders/>
            <w:shd w:fill="auto" w:val="clear"/>
            <w:vAlign w:val="center"/>
          </w:tcPr>
          <w:p>
            <w:pPr>
              <w:pStyle w:val="TableContents"/>
              <w:spacing w:before="0" w:after="0"/>
              <w:ind w:left="0" w:right="0" w:hanging="0"/>
              <w:rPr/>
            </w:pPr>
            <w:r>
              <w:rPr/>
              <w:t>​</w:t>
            </w:r>
          </w:p>
        </w:tc>
        <w:tc>
          <w:tcPr>
            <w:tcW w:w="273" w:type="dxa"/>
            <w:tcBorders/>
            <w:shd w:fill="auto" w:val="clear"/>
            <w:vAlign w:val="center"/>
          </w:tcPr>
          <w:p>
            <w:pPr>
              <w:pStyle w:val="TableContents"/>
              <w:spacing w:before="0" w:after="0"/>
              <w:ind w:left="0" w:right="0" w:hanging="0"/>
              <w:rPr/>
            </w:pPr>
            <w:r>
              <w:rPr/>
              <w:t> </w:t>
            </w:r>
          </w:p>
        </w:tc>
        <w:tc>
          <w:tcPr>
            <w:tcW w:w="448"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61,443</w:t>
            </w:r>
          </w:p>
        </w:tc>
      </w:tr>
      <w:tr>
        <w:trPr/>
        <w:tc>
          <w:tcPr>
            <w:tcW w:w="29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c>
          <w:tcPr>
            <w:tcW w:w="326" w:type="dxa"/>
            <w:tcBorders/>
            <w:shd w:fill="CCEEFF" w:val="clear"/>
            <w:vAlign w:val="center"/>
          </w:tcPr>
          <w:p>
            <w:pPr>
              <w:pStyle w:val="TableContents"/>
              <w:spacing w:before="0" w:after="0"/>
              <w:ind w:left="0" w:right="0" w:hanging="0"/>
              <w:rPr/>
            </w:pPr>
            <w:r>
              <w:rPr/>
              <w:t>​</w:t>
            </w:r>
          </w:p>
        </w:tc>
        <w:tc>
          <w:tcPr>
            <w:tcW w:w="27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8"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(4,698)</w:t>
            </w:r>
          </w:p>
        </w:tc>
      </w:tr>
      <w:tr>
        <w:trPr/>
        <w:tc>
          <w:tcPr>
            <w:tcW w:w="29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1,253,953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1,473,212</w:t>
            </w:r>
          </w:p>
        </w:tc>
        <w:tc>
          <w:tcPr>
            <w:tcW w:w="326" w:type="dxa"/>
            <w:tcBorders/>
            <w:shd w:fill="auto" w:val="clear"/>
            <w:vAlign w:val="center"/>
          </w:tcPr>
          <w:p>
            <w:pPr>
              <w:pStyle w:val="TableContents"/>
              <w:spacing w:before="0" w:after="0"/>
              <w:ind w:left="0" w:right="0" w:hanging="0"/>
              <w:rPr/>
            </w:pPr>
            <w:r>
              <w:rPr/>
              <w:t>​</w:t>
            </w:r>
          </w:p>
        </w:tc>
        <w:tc>
          <w:tcPr>
            <w:tcW w:w="27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448"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2,727,165</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three-months ended March 31, 2023, or during the year-ended December 31, 2022, and there were no changes in the Company’s valuation techniques.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1157" w:name="Tc_iDsuWPripkuCe0lvOhxLoQ_20_8"/>
      <w:bookmarkStart w:id="1158" w:name="Tc_OMSZhWovPEexWkQnvygyQA_20_0"/>
      <w:bookmarkStart w:id="1159" w:name="Tc_aVT8LdYACU21QJJS-xKekg_19_8"/>
      <w:bookmarkStart w:id="1160" w:name="Tc_Sy6NxuO2hEGa-2uUuc7Bdw_19_0"/>
      <w:bookmarkStart w:id="1161" w:name="Tc_cK26kPK8Z0azxIhX6_lY4Q_18_8"/>
      <w:bookmarkStart w:id="1162" w:name="Tc_8FfeMUlCbEqTJV11CD5UBA_18_0"/>
      <w:bookmarkStart w:id="1163" w:name="Tc_q8wr-WiMvkWIaWQvBqaImg_17_8"/>
      <w:bookmarkStart w:id="1164" w:name="Tc_J_n2U5M4A0Gec8AyvGHizw_17_0"/>
      <w:bookmarkStart w:id="1165" w:name="Tc_JjRzOa8ZmEObgwITjwSU9Q_16_8"/>
      <w:bookmarkStart w:id="1166" w:name="Tc_h3b1AJydykOBn2KKGCSU8w_16_0"/>
      <w:bookmarkStart w:id="1167" w:name="Tc_RgMdbxU3Jkq0UG0mmwRAPA_15_8"/>
      <w:bookmarkStart w:id="1168" w:name="Tc_sG3HVdWqfU--D7YTqkcAgg_15_0"/>
      <w:bookmarkStart w:id="1169" w:name="Tc_i9iTYSuiw0uAqIUKllCSqQ_14_8"/>
      <w:bookmarkStart w:id="1170" w:name="Tc_26NSxstTekufEUsBdvm09w_14_5"/>
      <w:bookmarkStart w:id="1171" w:name="Tc_PPa_46f9t0qOexHfWhTcOQ_14_2"/>
      <w:bookmarkStart w:id="1172" w:name="Tc_MI8ppPF9OE2ENUhxMnZ1MQ_14_0"/>
      <w:bookmarkStart w:id="1173" w:name="Tc_E7IBVknaeEyS0ZTPKjialw_13_0"/>
      <w:bookmarkStart w:id="1174" w:name="Tc_hzWYSKMq4EikwaQ_w49D5Q_12_0"/>
      <w:bookmarkStart w:id="1175" w:name="Tc_7vnZI-jD_kGw_QqkCnwn9A_10_8"/>
      <w:bookmarkStart w:id="1176" w:name="Tc_sIB0IoPsRkiBsRAstnmQNA_10_0"/>
      <w:bookmarkStart w:id="1177" w:name="Tc_FOvJpIF1CEmWRHakrd9RZQ_9_8"/>
      <w:bookmarkStart w:id="1178" w:name="Tc_3Xct1Xp22ku3XL8nJoTcbA_9_0"/>
      <w:bookmarkStart w:id="1179" w:name="Tc_4354RxHNW0Oi0JAESQP4LQ_8_8"/>
      <w:bookmarkStart w:id="1180" w:name="Tc_Y3RtTDpSXk6Pxi1hRDzGHQ_8_0"/>
      <w:bookmarkStart w:id="1181" w:name="Tc_5ne6JXWJI0Gn3HTnJ1-V8A_7_8"/>
      <w:bookmarkStart w:id="1182" w:name="Tc_M4oWGqPEnEye6r6CEywI3Q_7_5"/>
      <w:bookmarkStart w:id="1183" w:name="Tc_Q8I_Y_AHLkWPGllmjqk48w_7_2"/>
      <w:bookmarkStart w:id="1184" w:name="Tc_NpgojBlXMU-x09sqITAbgA_7_0"/>
      <w:bookmarkStart w:id="1185" w:name="Tc_jw2ODNNjSkyfsYqqV8lF_A_6_0"/>
      <w:bookmarkStart w:id="1186" w:name="Tc_4GpP_mizT0WTkwb7Iv3vqA_5_0"/>
      <w:bookmarkStart w:id="1187" w:name="Tc_v-fth2PwzkuspY3TbIaiVg_4_8"/>
      <w:bookmarkStart w:id="1188" w:name="Tc_7J0sCOkCVkqDCHLNyCpqBQ_4_5"/>
      <w:bookmarkStart w:id="1189" w:name="Tc_l6vSFA8Ujky1UBgRYHW9iQ_4_2"/>
      <w:bookmarkStart w:id="1190" w:name="Tc_e_IJF5u-EkS1cihshuZNPw_4_0"/>
      <w:bookmarkStart w:id="1191" w:name="Tc_QnRDOIXT8UqKrEmTf-XDgg_3_5"/>
      <w:bookmarkStart w:id="1192" w:name="Tc_9He__D-GFE2LnRE9zqc1rg_3_2"/>
      <w:bookmarkStart w:id="1193" w:name="Tc_bDI8fm5U10qtn_Ck05BhFA_3_0"/>
      <w:bookmarkStart w:id="1194" w:name="Tc_4wH-gAWexkev6W1MtEQGaA_2_0"/>
      <w:bookmarkStart w:id="1195" w:name="Tc_IKomOUzz40eZ60sekejyFA_1_0"/>
      <w:bookmarkStart w:id="1196" w:name="_bc8fac95_1136_427d_812e_979d761c3d0f"/>
      <w:bookmarkStart w:id="1197" w:name="Tc_iDsuWPripkuCe0lvOhxLoQ_20_8"/>
      <w:bookmarkStart w:id="1198" w:name="Tc_OMSZhWovPEexWkQnvygyQA_20_0"/>
      <w:bookmarkStart w:id="1199" w:name="Tc_aVT8LdYACU21QJJS-xKekg_19_8"/>
      <w:bookmarkStart w:id="1200" w:name="Tc_Sy6NxuO2hEGa-2uUuc7Bdw_19_0"/>
      <w:bookmarkStart w:id="1201" w:name="Tc_cK26kPK8Z0azxIhX6_lY4Q_18_8"/>
      <w:bookmarkStart w:id="1202" w:name="Tc_8FfeMUlCbEqTJV11CD5UBA_18_0"/>
      <w:bookmarkStart w:id="1203" w:name="Tc_q8wr-WiMvkWIaWQvBqaImg_17_8"/>
      <w:bookmarkStart w:id="1204" w:name="Tc_J_n2U5M4A0Gec8AyvGHizw_17_0"/>
      <w:bookmarkStart w:id="1205" w:name="Tc_JjRzOa8ZmEObgwITjwSU9Q_16_8"/>
      <w:bookmarkStart w:id="1206" w:name="Tc_h3b1AJydykOBn2KKGCSU8w_16_0"/>
      <w:bookmarkStart w:id="1207" w:name="Tc_RgMdbxU3Jkq0UG0mmwRAPA_15_8"/>
      <w:bookmarkStart w:id="1208" w:name="Tc_sG3HVdWqfU--D7YTqkcAgg_15_0"/>
      <w:bookmarkStart w:id="1209" w:name="Tc_i9iTYSuiw0uAqIUKllCSqQ_14_8"/>
      <w:bookmarkStart w:id="1210" w:name="Tc_26NSxstTekufEUsBdvm09w_14_5"/>
      <w:bookmarkStart w:id="1211" w:name="Tc_PPa_46f9t0qOexHfWhTcOQ_14_2"/>
      <w:bookmarkStart w:id="1212" w:name="Tc_MI8ppPF9OE2ENUhxMnZ1MQ_14_0"/>
      <w:bookmarkStart w:id="1213" w:name="Tc_E7IBVknaeEyS0ZTPKjialw_13_0"/>
      <w:bookmarkStart w:id="1214" w:name="Tc_hzWYSKMq4EikwaQ_w49D5Q_12_0"/>
      <w:bookmarkStart w:id="1215" w:name="Tc_7vnZI-jD_kGw_QqkCnwn9A_10_8"/>
      <w:bookmarkStart w:id="1216" w:name="Tc_sIB0IoPsRkiBsRAstnmQNA_10_0"/>
      <w:bookmarkStart w:id="1217" w:name="Tc_FOvJpIF1CEmWRHakrd9RZQ_9_8"/>
      <w:bookmarkStart w:id="1218" w:name="Tc_3Xct1Xp22ku3XL8nJoTcbA_9_0"/>
      <w:bookmarkStart w:id="1219" w:name="Tc_4354RxHNW0Oi0JAESQP4LQ_8_8"/>
      <w:bookmarkStart w:id="1220" w:name="Tc_Y3RtTDpSXk6Pxi1hRDzGHQ_8_0"/>
      <w:bookmarkStart w:id="1221" w:name="Tc_5ne6JXWJI0Gn3HTnJ1-V8A_7_8"/>
      <w:bookmarkStart w:id="1222" w:name="Tc_M4oWGqPEnEye6r6CEywI3Q_7_5"/>
      <w:bookmarkStart w:id="1223" w:name="Tc_Q8I_Y_AHLkWPGllmjqk48w_7_2"/>
      <w:bookmarkStart w:id="1224" w:name="Tc_NpgojBlXMU-x09sqITAbgA_7_0"/>
      <w:bookmarkStart w:id="1225" w:name="Tc_jw2ODNNjSkyfsYqqV8lF_A_6_0"/>
      <w:bookmarkStart w:id="1226" w:name="Tc_4GpP_mizT0WTkwb7Iv3vqA_5_0"/>
      <w:bookmarkStart w:id="1227" w:name="Tc_v-fth2PwzkuspY3TbIaiVg_4_8"/>
      <w:bookmarkStart w:id="1228" w:name="Tc_7J0sCOkCVkqDCHLNyCpqBQ_4_5"/>
      <w:bookmarkStart w:id="1229" w:name="Tc_l6vSFA8Ujky1UBgRYHW9iQ_4_2"/>
      <w:bookmarkStart w:id="1230" w:name="Tc_e_IJF5u-EkS1cihshuZNPw_4_0"/>
      <w:bookmarkStart w:id="1231" w:name="Tc_QnRDOIXT8UqKrEmTf-XDgg_3_5"/>
      <w:bookmarkStart w:id="1232" w:name="Tc_9He__D-GFE2LnRE9zqc1rg_3_2"/>
      <w:bookmarkStart w:id="1233" w:name="Tc_bDI8fm5U10qtn_Ck05BhFA_3_0"/>
      <w:bookmarkStart w:id="1234" w:name="Tc_4wH-gAWexkev6W1MtEQGaA_2_0"/>
      <w:bookmarkStart w:id="1235" w:name="Tc_IKomOUzz40eZ60sekejyFA_1_0"/>
      <w:bookmarkStart w:id="1236" w:name="_bc8fac95_1136_427d_812e_979d761c3d0f"/>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p>
    <w:tbl>
      <w:tblPr>
        <w:tblW w:w="5417" w:type="dxa"/>
        <w:jc w:val="left"/>
        <w:tblInd w:w="0" w:type="dxa"/>
        <w:tblCellMar>
          <w:top w:w="0" w:type="dxa"/>
          <w:left w:w="0" w:type="dxa"/>
          <w:bottom w:w="0" w:type="dxa"/>
          <w:right w:w="0" w:type="dxa"/>
        </w:tblCellMar>
      </w:tblPr>
      <w:tblGrid>
        <w:gridCol w:w="271"/>
        <w:gridCol w:w="5146"/>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6.</w:t>
            </w:r>
          </w:p>
        </w:tc>
        <w:tc>
          <w:tcPr>
            <w:tcW w:w="51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DERIVATIVE INSTRUMENTS AND HEDGING ACTIVITIES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exposed to foreign currency exchange rate risks related primarily to its foreign business operations. During the three-months ended March 31, 2023 and the year-ended December 31, 2022,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March 31, 2023 have terms of one month or less. The Company does not enter into forward currency exchange contracts for speculation or trading purposes.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not designated its foreign currency exchange contracts as hedge transactions under ASC 815, “Derivatives and Hedging.” Therefore, gains and losses on the Company’s foreign currency exchange contracts are recognized in interest and other income (expense), net, in the condensed consolidated statements of income, and are largely offset by the changes in the fair value of the underlying economically hedged item.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notional amount and fair value of all outstanding foreign currency derivative instruments in the Company’s condensed consolidated balance sheets consist of the following at:</w:t>
      </w:r>
    </w:p>
    <w:p>
      <w:pPr>
        <w:pStyle w:val="TextBody"/>
        <w:spacing w:before="0" w:after="0"/>
        <w:ind w:left="0" w:right="0" w:firstLine="720"/>
        <w:jc w:val="both"/>
        <w:rPr/>
      </w:pPr>
      <w:r>
        <w:rPr/>
        <w:t>​</w:t>
      </w:r>
    </w:p>
    <w:tbl>
      <w:tblPr>
        <w:tblW w:w="7929" w:type="dxa"/>
        <w:jc w:val="left"/>
        <w:tblInd w:w="0" w:type="dxa"/>
        <w:tblCellMar>
          <w:top w:w="0" w:type="dxa"/>
          <w:left w:w="0" w:type="dxa"/>
          <w:bottom w:w="0" w:type="dxa"/>
          <w:right w:w="0" w:type="dxa"/>
        </w:tblCellMar>
      </w:tblPr>
      <w:tblGrid>
        <w:gridCol w:w="3166"/>
        <w:gridCol w:w="326"/>
        <w:gridCol w:w="211"/>
        <w:gridCol w:w="676"/>
        <w:gridCol w:w="326"/>
        <w:gridCol w:w="211"/>
        <w:gridCol w:w="541"/>
        <w:gridCol w:w="326"/>
        <w:gridCol w:w="214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10410" cy="175260"/>
                      <wp:effectExtent l="0" t="0" r="0" b="0"/>
                      <wp:wrapNone/>
                      <wp:docPr id="250" name="Frame250"/>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29260" cy="175260"/>
                      <wp:effectExtent l="0" t="0" r="0" b="0"/>
                      <wp:wrapNone/>
                      <wp:docPr id="253" name="Frame25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43535" cy="175260"/>
                      <wp:effectExtent l="0" t="0" r="0" b="0"/>
                      <wp:wrapNone/>
                      <wp:docPr id="256" name="Frame256"/>
                      <a:graphic xmlns:a="http://schemas.openxmlformats.org/drawingml/2006/main">
                        <a:graphicData uri="http://schemas.microsoft.com/office/word/2010/wordprocessingShape">
                          <wps:wsp>
                            <wps:cNvSpPr txBox="1"/>
                            <wps:spPr>
                              <a:xfrm>
                                <a:off x="0" y="0"/>
                                <a:ext cx="3435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62710" cy="175260"/>
                      <wp:effectExtent l="0" t="0" r="0" b="0"/>
                      <wp:wrapNone/>
                      <wp:docPr id="258" name="Frame258"/>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29" w:type="dxa"/>
            <w:gridSpan w:val="9"/>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March 31, 2023</w:t>
            </w:r>
          </w:p>
        </w:tc>
      </w:tr>
      <w:tr>
        <w:trPr/>
        <w:tc>
          <w:tcPr>
            <w:tcW w:w="316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w:t>
            </w:r>
          </w:p>
        </w:tc>
        <w:tc>
          <w:tcPr>
            <w:tcW w:w="326" w:type="dxa"/>
            <w:tcBorders/>
            <w:shd w:fill="auto" w:val="clear"/>
            <w:vAlign w:val="center"/>
          </w:tcPr>
          <w:p>
            <w:pPr>
              <w:pStyle w:val="TableContents"/>
              <w:spacing w:before="0" w:after="0"/>
              <w:ind w:left="0" w:right="0" w:hanging="0"/>
              <w:rPr/>
            </w:pPr>
            <w:r>
              <w:rPr/>
              <w:t>​</w:t>
            </w:r>
          </w:p>
        </w:tc>
        <w:tc>
          <w:tcPr>
            <w:tcW w:w="75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ASC 815</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rPr/>
            </w:pPr>
            <w:r>
              <w:rPr/>
              <w:t>    </w:t>
            </w:r>
          </w:p>
        </w:tc>
        <w:tc>
          <w:tcPr>
            <w:tcW w:w="7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CAD/pay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44,220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CLP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56,610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COP</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15,493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RSD/pay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EUR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48,377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ZAR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4,117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NZD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6,906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CNY</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18,642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GBP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14,292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SGD/pay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24,977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5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AUD/pay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54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hanging="0"/>
        <w:rPr/>
      </w:pPr>
      <w:bookmarkStart w:id="1237" w:name="Tc_myceWRzGu0Wfd3ohn7W1yw_8_7"/>
      <w:bookmarkStart w:id="1238" w:name="Tc_KpexrrZ690Gny9ui8EGXYw_8_4"/>
      <w:bookmarkStart w:id="1239" w:name="Tc_dGTzL7iicUOdW9pV2MQDNg_7_7"/>
      <w:bookmarkStart w:id="1240" w:name="Tc_nO_uS7ivKEWaUZ4dFN0hoQ_7_4"/>
      <w:bookmarkStart w:id="1241" w:name="Tc_vAfuS24pfU2pnsrEmeOuyA_7_2"/>
      <w:bookmarkStart w:id="1242" w:name="Tc_IBwiO63SZ0i5oyBS_cu3-w_7_0"/>
      <w:bookmarkStart w:id="1243" w:name="Tc_7Fzm6m4Mek6xlJoNwSVpMg_6_7"/>
      <w:bookmarkStart w:id="1244" w:name="Tc_eUfcQD4nBkadxn4fpmM0Zw_6_4"/>
      <w:bookmarkStart w:id="1245" w:name="Tc_-xv9zpI-8UaxEusf9p_4-A_6_2"/>
      <w:bookmarkStart w:id="1246" w:name="Tc_jTBLs0MFA0aAfTizidfSeQ_6_0"/>
      <w:bookmarkStart w:id="1247" w:name="Tc_2UKmCKc-F0K4WXtxnDqLpQ_5_2"/>
      <w:bookmarkStart w:id="1248" w:name="Tc_wf4b7Up6Y0GjPQrUOeqtgg_5_0"/>
      <w:bookmarkStart w:id="1249" w:name="Tc_1kC90FZaUEGeiKaRwEHcJQ_4_4"/>
      <w:bookmarkStart w:id="1250" w:name="Tc_95kdU_ryNkCfotEmvXkcOQ_3_4"/>
      <w:bookmarkStart w:id="1251" w:name="Tc_7LCZF3BLxkafVU187jwipA_2_4"/>
      <w:bookmarkStart w:id="1252" w:name="Tc_VMHq-nWFR0CTiHcGotS5EA_1_4"/>
      <w:bookmarkStart w:id="1253" w:name="Tc_uVuX1zGICEmEp6HC7xA2GA_24_8"/>
      <w:bookmarkStart w:id="1254" w:name="Tc_uKNY3YirekC7FYYX5rOb6Q_24_0"/>
      <w:bookmarkStart w:id="1255" w:name="Tc_pinSjq_C3Eu5c3v6hT4WLQ_23_8"/>
      <w:bookmarkStart w:id="1256" w:name="Tc_Vqttu24Jh0eugnkxSdFfXg_23_0"/>
      <w:bookmarkStart w:id="1257" w:name="Tc_lbBtQsMtIEOsPdo1mva0fw_22_8"/>
      <w:bookmarkStart w:id="1258" w:name="Tc_0VBFKbM8eU-8VEaQhpfjEQ_22_0"/>
      <w:bookmarkStart w:id="1259" w:name="Tc_WCWpid1cHEm2ja8BXHsSDQ_21_8"/>
      <w:bookmarkStart w:id="1260" w:name="Tc_T_uQSQ84JUuNUJ7ciEOvkw_21_0"/>
      <w:bookmarkStart w:id="1261" w:name="Tc_bBpFU38uXEOGtdLPYvVaZA_20_8"/>
      <w:bookmarkStart w:id="1262" w:name="Tc_4tL6EHr2-EKr4_Y_rXbtFA_20_0"/>
      <w:bookmarkStart w:id="1263" w:name="Tc_wQoDWPjuhEaYVIBITDoKrQ_19_8"/>
      <w:bookmarkStart w:id="1264" w:name="Tc_bGjKKxxYwUyMuyL3XK6jWg_19_0"/>
      <w:bookmarkStart w:id="1265" w:name="Tc_JjGMxPaC3Equ_xnWgJVYGw_18_8"/>
      <w:bookmarkStart w:id="1266" w:name="Tc_MgzTLByPak2OfvA0jRC3Sg_18_5"/>
      <w:bookmarkStart w:id="1267" w:name="Tc_whe8Jx0UYUWUetdMWquF4w_18_2"/>
      <w:bookmarkStart w:id="1268" w:name="Tc_yDhchJhoWEmFa4ixsW4pNw_18_0"/>
      <w:bookmarkStart w:id="1269" w:name="Tc_BKle48iOJUW8OpJwsqHxZA_17_0"/>
      <w:bookmarkStart w:id="1270" w:name="Tc_eyfLKO8wg0SsnJ52dI2_4A_16_0"/>
      <w:bookmarkStart w:id="1271" w:name="Tc_G5PSpQGeokKtPsZKyF-ZOw_14_8"/>
      <w:bookmarkStart w:id="1272" w:name="Tc_QE6Oi3wceEqtLVaIeu6kuw_14_0"/>
      <w:bookmarkStart w:id="1273" w:name="Tc_Sd5ZykQ6hEW6KKcAPb7gcA_13_8"/>
      <w:bookmarkStart w:id="1274" w:name="Tc_d09XD-NqY0CjL3buU91_4Q_13_0"/>
      <w:bookmarkStart w:id="1275" w:name="Tc_x005F_XFCaF_1UhEaFWaZx4ykX9g_12_8"/>
      <w:bookmarkStart w:id="1276" w:name="Tc_p04gdC1FBEa0_7KnPhceUg_12_0"/>
      <w:bookmarkStart w:id="1277" w:name="Tc_zOHYpshQI022ensnRRYZCA_11_8"/>
      <w:bookmarkStart w:id="1278" w:name="Tc_EKkIApdwvUaPIx3zpl88BQ_11_0"/>
      <w:bookmarkStart w:id="1279" w:name="Tc_J80Fc4FIEE6nUplciyDuTg_10_8"/>
      <w:bookmarkStart w:id="1280" w:name="Tc_9svID7TFrEK_iP6_Tsa1dw_10_0"/>
      <w:bookmarkStart w:id="1281" w:name="Tc_G6a9xgtsHkSWMPlI2EI0vA_9_8"/>
      <w:bookmarkStart w:id="1282" w:name="Tc_1_scQnIG0k-yF5HNPGSz0Q_9_0"/>
      <w:bookmarkStart w:id="1283" w:name="Tc_Y7SPL0TMSkmZWzHPArN6Cw_8_8"/>
      <w:bookmarkStart w:id="1284" w:name="Tc_1vlUzlfpWUuhLPzYWiKrzw_8_0"/>
      <w:bookmarkStart w:id="1285" w:name="Tc_00HnwPWx9UqExDCSxOoEog_7_8"/>
      <w:bookmarkStart w:id="1286" w:name="Tc_oGBLX1pN50yPfalZc-5wZA_7_5"/>
      <w:bookmarkStart w:id="1287" w:name="Tc_Ia2q_r3wdkqX2h3pxJw5Mg_7_2"/>
      <w:bookmarkStart w:id="1288" w:name="Tc_GxXCnF2hNUao9sgC1VXdrg_7_0"/>
      <w:bookmarkStart w:id="1289" w:name="Tc_7y5PdCAudkuCr3s7XNjmJg_6_0"/>
      <w:bookmarkStart w:id="1290" w:name="Tc_kOmAbgCFvUC2R-icm9j5MA_5_0"/>
      <w:bookmarkStart w:id="1291" w:name="Tc_c4LrfBqTiUePaORxfluP5Q_4_8"/>
      <w:bookmarkStart w:id="1292" w:name="Tc_BvVbmOZWCk2Ek5McwJkOAg_4_5"/>
      <w:bookmarkStart w:id="1293" w:name="Tc_GKNXtB10z0eW1BUyI9JDXQ_4_2"/>
      <w:bookmarkStart w:id="1294" w:name="Tc_sQGhu5dWSkqKdR-SDMt8Tw_4_0"/>
      <w:bookmarkStart w:id="1295" w:name="Tc_eSyplIj45kODQkfElQ0FoA_3_5"/>
      <w:bookmarkStart w:id="1296" w:name="Tc_mSXprIvh-U-GeY3Y2teGxg_3_2"/>
      <w:bookmarkStart w:id="1297" w:name="Tc_zEoBZJj0wkuGyimA6tbPHw_3_0"/>
      <w:bookmarkStart w:id="1298" w:name="Tc_HZIZ0xuAuESGzDCT2h7lKg_2_0"/>
      <w:bookmarkStart w:id="1299" w:name="Tc_aADpjVjrP0OFHEv8_szi8g_1_0"/>
      <w:bookmarkStart w:id="1300" w:name="_bf2c6078_94d5_4f56_ba4f_4cc53ccde2b9"/>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r>
        <w:rPr/>
        <w:t>​</w:t>
      </w:r>
    </w:p>
    <w:tbl>
      <w:tblPr>
        <w:tblW w:w="8079" w:type="dxa"/>
        <w:jc w:val="left"/>
        <w:tblInd w:w="0" w:type="dxa"/>
        <w:tblCellMar>
          <w:top w:w="0" w:type="dxa"/>
          <w:left w:w="0" w:type="dxa"/>
          <w:bottom w:w="0" w:type="dxa"/>
          <w:right w:w="0" w:type="dxa"/>
        </w:tblCellMar>
      </w:tblPr>
      <w:tblGrid>
        <w:gridCol w:w="3166"/>
        <w:gridCol w:w="326"/>
        <w:gridCol w:w="211"/>
        <w:gridCol w:w="676"/>
        <w:gridCol w:w="326"/>
        <w:gridCol w:w="211"/>
        <w:gridCol w:w="691"/>
        <w:gridCol w:w="326"/>
        <w:gridCol w:w="2146"/>
      </w:tblGrid>
      <w:tr>
        <w:trPr/>
        <w:tc>
          <w:tcPr>
            <w:tcW w:w="31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2010410" cy="175260"/>
                      <wp:effectExtent l="0" t="0" r="0" b="0"/>
                      <wp:wrapNone/>
                      <wp:docPr id="259" name="Frame259"/>
                      <a:graphic xmlns:a="http://schemas.openxmlformats.org/drawingml/2006/main">
                        <a:graphicData uri="http://schemas.microsoft.com/office/word/2010/wordprocessingShape">
                          <wps:wsp>
                            <wps:cNvSpPr txBox="1"/>
                            <wps:spPr>
                              <a:xfrm>
                                <a:off x="0" y="0"/>
                                <a:ext cx="2010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429260" cy="175260"/>
                      <wp:effectExtent l="0" t="0" r="0" b="0"/>
                      <wp:wrapNone/>
                      <wp:docPr id="262" name="Frame26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3" name="Frame26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133985" cy="175260"/>
                      <wp:effectExtent l="0" t="0" r="0" b="0"/>
                      <wp:wrapNone/>
                      <wp:docPr id="264" name="Frame26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438785" cy="175260"/>
                      <wp:effectExtent l="0" t="0" r="0" b="0"/>
                      <wp:wrapNone/>
                      <wp:docPr id="265" name="Frame265"/>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1362710" cy="175260"/>
                      <wp:effectExtent l="0" t="0" r="0" b="0"/>
                      <wp:wrapNone/>
                      <wp:docPr id="267" name="Frame267"/>
                      <a:graphic xmlns:a="http://schemas.openxmlformats.org/drawingml/2006/main">
                        <a:graphicData uri="http://schemas.microsoft.com/office/word/2010/wordprocessingShape">
                          <wps:wsp>
                            <wps:cNvSpPr txBox="1"/>
                            <wps:spPr>
                              <a:xfrm>
                                <a:off x="0" y="0"/>
                                <a:ext cx="1362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8079" w:type="dxa"/>
            <w:gridSpan w:val="9"/>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2022</w:t>
            </w:r>
          </w:p>
        </w:tc>
      </w:tr>
      <w:tr>
        <w:trPr/>
        <w:tc>
          <w:tcPr>
            <w:tcW w:w="316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Notional </w:t>
            </w:r>
          </w:p>
        </w:tc>
        <w:tc>
          <w:tcPr>
            <w:tcW w:w="326" w:type="dxa"/>
            <w:tcBorders/>
            <w:shd w:fill="auto" w:val="clear"/>
            <w:vAlign w:val="center"/>
          </w:tcPr>
          <w:p>
            <w:pPr>
              <w:pStyle w:val="TableContents"/>
              <w:spacing w:before="0" w:after="0"/>
              <w:ind w:left="0" w:right="0" w:hanging="0"/>
              <w:rPr/>
            </w:pPr>
            <w:r>
              <w:rPr/>
              <w:t>​</w:t>
            </w:r>
          </w:p>
        </w:tc>
        <w:tc>
          <w:tcPr>
            <w:tcW w:w="90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jc w:val="center"/>
              <w:rPr/>
            </w:pPr>
            <w:r>
              <w:rPr/>
              <w:t>​</w:t>
            </w:r>
          </w:p>
        </w:tc>
      </w:tr>
      <w:tr>
        <w:trPr/>
        <w:tc>
          <w:tcPr>
            <w:tcW w:w="316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ASC 815</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w:t>
            </w:r>
          </w:p>
        </w:tc>
        <w:tc>
          <w:tcPr>
            <w:tcW w:w="326" w:type="dxa"/>
            <w:tcBorders/>
            <w:shd w:fill="auto" w:val="clear"/>
            <w:vAlign w:val="center"/>
          </w:tcPr>
          <w:p>
            <w:pPr>
              <w:pStyle w:val="TableContents"/>
              <w:spacing w:before="0" w:after="0"/>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Value</w:t>
            </w:r>
          </w:p>
        </w:tc>
        <w:tc>
          <w:tcPr>
            <w:tcW w:w="326" w:type="dxa"/>
            <w:tcBorders/>
            <w:shd w:fill="auto" w:val="clear"/>
            <w:vAlign w:val="center"/>
          </w:tcPr>
          <w:p>
            <w:pPr>
              <w:pStyle w:val="TableContents"/>
              <w:spacing w:before="0" w:after="0"/>
              <w:ind w:left="0" w:right="0" w:hanging="0"/>
              <w:rPr/>
            </w:pPr>
            <w:r>
              <w:rPr/>
              <w:t>    </w:t>
            </w:r>
          </w:p>
        </w:tc>
        <w:tc>
          <w:tcPr>
            <w:tcW w:w="214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 Location</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SGD/pay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15,883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CAD/pay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34,467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MXN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GBP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43,551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RSD/pay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GBP/pay USD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34,716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GBP/pay USD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COP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r>
      <w:tr>
        <w:trPr/>
        <w:tc>
          <w:tcPr>
            <w:tcW w:w="31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6" w:type="dxa"/>
            <w:tcBorders/>
            <w:shd w:fill="auto" w:val="clear"/>
            <w:vAlign w:val="center"/>
          </w:tcPr>
          <w:p>
            <w:pPr>
              <w:pStyle w:val="TableContents"/>
              <w:spacing w:before="0" w:after="0"/>
              <w:ind w:left="0" w:right="0" w:hanging="0"/>
              <w:rPr/>
            </w:pPr>
            <w:r>
              <w:rPr/>
              <w:t>​</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Foreign currency exchange contracts: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pPr>
            <w:r>
              <w:rPr/>
              <w:t>​</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CLP</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43,071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(2,549)</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EUR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(1,377)</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CNY</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12,460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EUR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34,714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(295)</w:t>
            </w:r>
          </w:p>
        </w:tc>
        <w:tc>
          <w:tcPr>
            <w:tcW w:w="326" w:type="dxa"/>
            <w:tcBorders/>
            <w:shd w:fill="CCEEFF" w:val="clear"/>
            <w:vAlign w:val="center"/>
          </w:tcPr>
          <w:p>
            <w:pPr>
              <w:pStyle w:val="TableContents"/>
              <w:spacing w:before="0" w:after="0"/>
              <w:ind w:left="0" w:right="0" w:hanging="0"/>
              <w:rPr/>
            </w:pPr>
            <w:r>
              <w:rPr/>
              <w:t>​</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NZD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AUD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spacing w:before="0" w:after="0"/>
              <w:ind w:left="0" w:right="0" w:hanging="0"/>
              <w:rPr/>
            </w:pPr>
            <w:r>
              <w:rPr/>
              <w:t> </w:t>
            </w:r>
          </w:p>
        </w:tc>
        <w:tc>
          <w:tcPr>
            <w:tcW w:w="21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r>
        <w:trPr/>
        <w:tc>
          <w:tcPr>
            <w:tcW w:w="31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Receive USD/pay ZAR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auto" w:val="clear"/>
            <w:vAlign w:val="center"/>
          </w:tcPr>
          <w:p>
            <w:pPr>
              <w:pStyle w:val="TableContents"/>
              <w:spacing w:before="0" w:after="0"/>
              <w:ind w:left="0" w:right="0" w:hanging="0"/>
              <w:rPr/>
            </w:pPr>
            <w:r>
              <w:rPr/>
              <w:t> </w:t>
            </w:r>
          </w:p>
        </w:tc>
        <w:tc>
          <w:tcPr>
            <w:tcW w:w="21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net gains (losses) on derivative instruments in the condensed consolidated statements of income were as follows:</w:t>
      </w:r>
    </w:p>
    <w:p>
      <w:pPr>
        <w:pStyle w:val="TextBody"/>
        <w:spacing w:before="0" w:after="0"/>
        <w:ind w:left="0" w:right="0" w:firstLine="720"/>
        <w:jc w:val="both"/>
        <w:rPr/>
      </w:pPr>
      <w:r>
        <w:rPr/>
        <w:t>​</w:t>
      </w:r>
    </w:p>
    <w:tbl>
      <w:tblPr>
        <w:tblW w:w="9320" w:type="dxa"/>
        <w:jc w:val="left"/>
        <w:tblInd w:w="0" w:type="dxa"/>
        <w:tblCellMar>
          <w:top w:w="0" w:type="dxa"/>
          <w:left w:w="0" w:type="dxa"/>
          <w:bottom w:w="0" w:type="dxa"/>
          <w:right w:w="0" w:type="dxa"/>
        </w:tblCellMar>
      </w:tblPr>
      <w:tblGrid>
        <w:gridCol w:w="3106"/>
        <w:gridCol w:w="326"/>
        <w:gridCol w:w="3331"/>
        <w:gridCol w:w="326"/>
        <w:gridCol w:w="217"/>
        <w:gridCol w:w="713"/>
        <w:gridCol w:w="326"/>
        <w:gridCol w:w="217"/>
        <w:gridCol w:w="758"/>
      </w:tblGrid>
      <w:tr>
        <w:trPr/>
        <w:tc>
          <w:tcPr>
            <w:tcW w:w="31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972310" cy="175260"/>
                      <wp:effectExtent l="0" t="0" r="0" b="0"/>
                      <wp:wrapNone/>
                      <wp:docPr id="268" name="Frame268"/>
                      <a:graphic xmlns:a="http://schemas.openxmlformats.org/drawingml/2006/main">
                        <a:graphicData uri="http://schemas.microsoft.com/office/word/2010/wordprocessingShape">
                          <wps:wsp>
                            <wps:cNvSpPr txBox="1"/>
                            <wps:spPr>
                              <a:xfrm>
                                <a:off x="0" y="0"/>
                                <a:ext cx="1972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7010" cy="175260"/>
                      <wp:effectExtent l="0" t="0" r="0" b="0"/>
                      <wp:wrapNone/>
                      <wp:docPr id="269" name="Frame26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115185" cy="175260"/>
                      <wp:effectExtent l="0" t="0" r="0" b="0"/>
                      <wp:wrapNone/>
                      <wp:docPr id="270" name="Frame270"/>
                      <a:graphic xmlns:a="http://schemas.openxmlformats.org/drawingml/2006/main">
                        <a:graphicData uri="http://schemas.microsoft.com/office/word/2010/wordprocessingShape">
                          <wps:wsp>
                            <wps:cNvSpPr txBox="1"/>
                            <wps:spPr>
                              <a:xfrm>
                                <a:off x="0" y="0"/>
                                <a:ext cx="2115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71" name="Frame2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7795" cy="175260"/>
                      <wp:effectExtent l="0" t="0" r="0" b="0"/>
                      <wp:wrapNone/>
                      <wp:docPr id="272" name="Frame272"/>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452755" cy="175260"/>
                      <wp:effectExtent l="0" t="0" r="0" b="0"/>
                      <wp:wrapNone/>
                      <wp:docPr id="273" name="Frame273"/>
                      <a:graphic xmlns:a="http://schemas.openxmlformats.org/drawingml/2006/main">
                        <a:graphicData uri="http://schemas.microsoft.com/office/word/2010/wordprocessingShape">
                          <wps:wsp>
                            <wps:cNvSpPr txBox="1"/>
                            <wps:spPr>
                              <a:xfrm>
                                <a:off x="0" y="0"/>
                                <a:ext cx="4527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7010" cy="175260"/>
                      <wp:effectExtent l="0" t="0" r="0" b="0"/>
                      <wp:wrapNone/>
                      <wp:docPr id="274" name="Frame27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37795" cy="175260"/>
                      <wp:effectExtent l="0" t="0" r="0" b="0"/>
                      <wp:wrapNone/>
                      <wp:docPr id="275" name="Frame275"/>
                      <a:graphic xmlns:a="http://schemas.openxmlformats.org/drawingml/2006/main">
                        <a:graphicData uri="http://schemas.microsoft.com/office/word/2010/wordprocessingShape">
                          <wps:wsp>
                            <wps:cNvSpPr txBox="1"/>
                            <wps:spPr>
                              <a:xfrm>
                                <a:off x="0" y="0"/>
                                <a:ext cx="137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5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481330" cy="175260"/>
                      <wp:effectExtent l="0" t="0" r="0" b="0"/>
                      <wp:wrapNone/>
                      <wp:docPr id="276" name="Frame276"/>
                      <a:graphic xmlns:a="http://schemas.openxmlformats.org/drawingml/2006/main">
                        <a:graphicData uri="http://schemas.microsoft.com/office/word/2010/wordprocessingShape">
                          <wps:wsp>
                            <wps:cNvSpPr txBox="1"/>
                            <wps:spPr>
                              <a:xfrm>
                                <a:off x="0" y="0"/>
                                <a:ext cx="4813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31"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Amount of gain (loss)</w: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31"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r>
      <w:tr>
        <w:trPr/>
        <w:tc>
          <w:tcPr>
            <w:tcW w:w="31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3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r>
      <w:tr>
        <w:trPr/>
        <w:tc>
          <w:tcPr>
            <w:tcW w:w="310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231"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310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Derivatives not designated as</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gain (loss)</w:t>
            </w:r>
          </w:p>
        </w:tc>
        <w:tc>
          <w:tcPr>
            <w:tcW w:w="326" w:type="dxa"/>
            <w:tcBorders/>
            <w:shd w:fill="auto" w:val="clear"/>
            <w:vAlign w:val="center"/>
          </w:tcPr>
          <w:p>
            <w:pPr>
              <w:pStyle w:val="TableContents"/>
              <w:spacing w:before="0" w:after="0"/>
              <w:ind w:left="0" w:right="0" w:hanging="0"/>
              <w:rPr/>
            </w:pPr>
            <w:r>
              <w:rPr/>
              <w:t>​</w:t>
            </w:r>
          </w:p>
        </w:tc>
        <w:tc>
          <w:tcPr>
            <w:tcW w:w="217" w:type="dxa"/>
            <w:tcBorders/>
            <w:shd w:fill="auto" w:val="clear"/>
            <w:vAlign w:val="center"/>
          </w:tcPr>
          <w:p>
            <w:pPr>
              <w:pStyle w:val="TableContents"/>
              <w:spacing w:before="0" w:after="0"/>
              <w:ind w:left="0" w:right="0" w:hanging="0"/>
              <w:jc w:val="center"/>
              <w:rPr/>
            </w:pPr>
            <w:r>
              <w:rPr/>
              <w:t>​</w:t>
            </w:r>
          </w:p>
        </w:tc>
        <w:tc>
          <w:tcPr>
            <w:tcW w:w="713"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217" w:type="dxa"/>
            <w:tcBorders/>
            <w:shd w:fill="auto" w:val="clear"/>
            <w:vAlign w:val="center"/>
          </w:tcPr>
          <w:p>
            <w:pPr>
              <w:pStyle w:val="TableContents"/>
              <w:spacing w:before="0" w:after="0"/>
              <w:ind w:left="0" w:right="0" w:hanging="0"/>
              <w:jc w:val="center"/>
              <w:rPr/>
            </w:pPr>
            <w:r>
              <w:rPr/>
              <w:t>​</w:t>
            </w:r>
          </w:p>
        </w:tc>
        <w:tc>
          <w:tcPr>
            <w:tcW w:w="758" w:type="dxa"/>
            <w:tcBorders/>
            <w:shd w:fill="auto" w:val="clear"/>
            <w:vAlign w:val="center"/>
          </w:tcPr>
          <w:p>
            <w:pPr>
              <w:pStyle w:val="TableContents"/>
              <w:spacing w:before="0" w:after="0"/>
              <w:ind w:left="0" w:right="0" w:hanging="0"/>
              <w:jc w:val="center"/>
              <w:rPr/>
            </w:pPr>
            <w:r>
              <w:rPr/>
              <w:t>​</w:t>
            </w:r>
          </w:p>
        </w:tc>
      </w:tr>
      <w:tr>
        <w:trPr/>
        <w:tc>
          <w:tcPr>
            <w:tcW w:w="3106" w:type="dxa"/>
            <w:tcBorders/>
            <w:shd w:fill="auto" w:val="cle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hedging instruments under</w:t>
            </w:r>
          </w:p>
        </w:tc>
        <w:tc>
          <w:tcPr>
            <w:tcW w:w="326" w:type="dxa"/>
            <w:tcBorders/>
            <w:shd w:fill="auto" w:val="clear"/>
            <w:vAlign w:val="center"/>
          </w:tcPr>
          <w:p>
            <w:pPr>
              <w:pStyle w:val="TableContents"/>
              <w:spacing w:before="0" w:after="0"/>
              <w:ind w:left="0" w:right="0" w:hanging="0"/>
              <w:rPr/>
            </w:pPr>
            <w:r>
              <w:rPr/>
              <w:t>​</w:t>
            </w:r>
          </w:p>
        </w:tc>
        <w:tc>
          <w:tcPr>
            <w:tcW w:w="333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recognized in income on</w:t>
            </w:r>
          </w:p>
        </w:tc>
        <w:tc>
          <w:tcPr>
            <w:tcW w:w="326" w:type="dxa"/>
            <w:tcBorders/>
            <w:shd w:fill="auto" w:val="clear"/>
            <w:vAlign w:val="center"/>
          </w:tcPr>
          <w:p>
            <w:pPr>
              <w:pStyle w:val="TableContents"/>
              <w:spacing w:before="0" w:after="0"/>
              <w:ind w:left="0" w:right="0" w:hanging="0"/>
              <w:rPr/>
            </w:pPr>
            <w:r>
              <w:rPr/>
              <w:t>​</w:t>
            </w:r>
          </w:p>
        </w:tc>
        <w:tc>
          <w:tcPr>
            <w:tcW w:w="93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c>
          <w:tcPr>
            <w:tcW w:w="326" w:type="dxa"/>
            <w:tcBorders/>
            <w:shd w:fill="auto" w:val="clear"/>
            <w:vAlign w:val="center"/>
          </w:tcPr>
          <w:p>
            <w:pPr>
              <w:pStyle w:val="TableContents"/>
              <w:spacing w:before="0" w:after="0"/>
              <w:ind w:left="0" w:right="0" w:hanging="0"/>
              <w:rPr/>
            </w:pPr>
            <w:r>
              <w:rPr/>
              <w:t>​</w:t>
            </w:r>
          </w:p>
        </w:tc>
        <w:tc>
          <w:tcPr>
            <w:tcW w:w="97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w:t>
            </w:r>
          </w:p>
        </w:tc>
      </w:tr>
      <w:tr>
        <w:trPr/>
        <w:tc>
          <w:tcPr>
            <w:tcW w:w="3106"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ASC 815</w:t>
            </w:r>
          </w:p>
        </w:tc>
        <w:tc>
          <w:tcPr>
            <w:tcW w:w="326" w:type="dxa"/>
            <w:tcBorders/>
            <w:shd w:fill="auto" w:val="clear"/>
            <w:vAlign w:val="center"/>
          </w:tcPr>
          <w:p>
            <w:pPr>
              <w:pStyle w:val="TableContents"/>
              <w:spacing w:before="0" w:after="0"/>
              <w:ind w:left="0" w:right="0" w:hanging="0"/>
              <w:rPr/>
            </w:pPr>
            <w:r>
              <w:rPr/>
              <w:t>    </w:t>
            </w:r>
          </w:p>
        </w:tc>
        <w:tc>
          <w:tcPr>
            <w:tcW w:w="33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derivatives</w:t>
            </w:r>
          </w:p>
        </w:tc>
        <w:tc>
          <w:tcPr>
            <w:tcW w:w="326" w:type="dxa"/>
            <w:tcBorders/>
            <w:shd w:fill="auto" w:val="clear"/>
            <w:vAlign w:val="center"/>
          </w:tcPr>
          <w:p>
            <w:pPr>
              <w:pStyle w:val="TableContents"/>
              <w:spacing w:before="0" w:after="0"/>
              <w:ind w:left="0" w:right="0" w:hanging="0"/>
              <w:rPr/>
            </w:pPr>
            <w:r>
              <w:rPr/>
              <w:t>    </w:t>
            </w:r>
          </w:p>
        </w:tc>
        <w:tc>
          <w:tcPr>
            <w:tcW w:w="93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97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06" w:type="dxa"/>
            <w:tcBorders/>
            <w:shd w:fill="CCEEFF" w:val="clear"/>
            <w:vAlign w:val="center"/>
          </w:tcPr>
          <w:p>
            <w:pPr>
              <w:pStyle w:val="TableContents"/>
              <w:pBdr/>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exchange contracts</w:t>
            </w:r>
          </w:p>
        </w:tc>
        <w:tc>
          <w:tcPr>
            <w:tcW w:w="326" w:type="dxa"/>
            <w:tcBorders/>
            <w:shd w:fill="CCEEFF" w:val="clear"/>
            <w:vAlign w:val="center"/>
          </w:tcPr>
          <w:p>
            <w:pPr>
              <w:pStyle w:val="TableContents"/>
              <w:spacing w:before="0" w:after="0"/>
              <w:ind w:left="0" w:right="0" w:hanging="0"/>
              <w:rPr/>
            </w:pPr>
            <w:r>
              <w:rPr/>
              <w:t> </w:t>
            </w:r>
          </w:p>
        </w:tc>
        <w:tc>
          <w:tcPr>
            <w:tcW w:w="3331" w:type="dxa"/>
            <w:tcBorders/>
            <w:shd w:fill="CCEEFF" w:val="clear"/>
            <w:vAlign w:val="center"/>
          </w:tcPr>
          <w:p>
            <w:pPr>
              <w:pStyle w:val="TableContents"/>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and other income (expense), net</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1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(7,852)</w:t>
            </w:r>
          </w:p>
        </w:tc>
        <w:tc>
          <w:tcPr>
            <w:tcW w:w="326" w:type="dxa"/>
            <w:tcBorders/>
            <w:shd w:fill="CCEEFF" w:val="clear"/>
            <w:vAlign w:val="center"/>
          </w:tcPr>
          <w:p>
            <w:pPr>
              <w:pStyle w:val="TableContents"/>
              <w:spacing w:before="0" w:after="0"/>
              <w:ind w:left="0" w:right="0" w:hanging="0"/>
              <w:rPr/>
            </w:pPr>
            <w:r>
              <w:rPr/>
              <w:t>​</w:t>
            </w:r>
          </w:p>
        </w:tc>
        <w:tc>
          <w:tcPr>
            <w:tcW w:w="21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(4,019)</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Normal"/>
        <w:spacing w:before="0" w:after="0"/>
        <w:rPr>
          <w:sz w:val="4"/>
          <w:szCs w:val="4"/>
        </w:rPr>
      </w:pPr>
      <w:r>
        <w:rPr>
          <w:sz w:val="4"/>
          <w:szCs w:val="4"/>
        </w:rPr>
      </w:r>
      <w:bookmarkStart w:id="1301" w:name="Tc_GNPelXF0I0-8Hr45Nb-HPg_6_5"/>
      <w:bookmarkStart w:id="1302" w:name="Tc_p-7Mc5S_a0a13Ino6AHyXg_6_2"/>
      <w:bookmarkStart w:id="1303" w:name="Tc_JO8Ww3on3067x8Rx76yKsQ_5_0"/>
      <w:bookmarkStart w:id="1304" w:name="Tc_pR2nn6hnGU6a47cK0hQomw_4_0"/>
      <w:bookmarkStart w:id="1305" w:name="Tc_woSFhI2y1UC1G9gNN12Iug_3_5"/>
      <w:bookmarkStart w:id="1306" w:name="Tc_L-1THoL97EiPe0MaVl0R0Q_3_2"/>
      <w:bookmarkStart w:id="1307" w:name="Tc_k0VzB6VRr0uajF5i2f0c3Q_3_0"/>
      <w:bookmarkStart w:id="1308" w:name="Tc_EbgxOyIhXkmBHM7n8mIfeQ_2_5"/>
      <w:bookmarkStart w:id="1309" w:name="Tc_9Op0gvp5zUeBehDgjIWakA_2_2"/>
      <w:bookmarkStart w:id="1310" w:name="Tc_FKuV-6m2EkK1fNgD35tElg_1_5"/>
      <w:bookmarkStart w:id="1311" w:name="Tc_kX9_90W0nU60vRHuNHNuOQ_1_2"/>
      <w:bookmarkStart w:id="1312" w:name="Tc_GNPelXF0I0-8Hr45Nb-HPg_6_5"/>
      <w:bookmarkStart w:id="1313" w:name="Tc_p-7Mc5S_a0a13Ino6AHyXg_6_2"/>
      <w:bookmarkStart w:id="1314" w:name="Tc_JO8Ww3on3067x8Rx76yKsQ_5_0"/>
      <w:bookmarkStart w:id="1315" w:name="Tc_pR2nn6hnGU6a47cK0hQomw_4_0"/>
      <w:bookmarkStart w:id="1316" w:name="Tc_woSFhI2y1UC1G9gNN12Iug_3_5"/>
      <w:bookmarkStart w:id="1317" w:name="Tc_L-1THoL97EiPe0MaVl0R0Q_3_2"/>
      <w:bookmarkStart w:id="1318" w:name="Tc_k0VzB6VRr0uajF5i2f0c3Q_3_0"/>
      <w:bookmarkStart w:id="1319" w:name="Tc_EbgxOyIhXkmBHM7n8mIfeQ_2_5"/>
      <w:bookmarkStart w:id="1320" w:name="Tc_9Op0gvp5zUeBehDgjIWakA_2_2"/>
      <w:bookmarkStart w:id="1321" w:name="Tc_FKuV-6m2EkK1fNgD35tElg_1_5"/>
      <w:bookmarkStart w:id="1322" w:name="Tc_kX9_90W0nU60vRHuNHNuOQ_1_2"/>
      <w:bookmarkEnd w:id="1312"/>
      <w:bookmarkEnd w:id="1313"/>
      <w:bookmarkEnd w:id="1314"/>
      <w:bookmarkEnd w:id="1315"/>
      <w:bookmarkEnd w:id="1316"/>
      <w:bookmarkEnd w:id="1317"/>
      <w:bookmarkEnd w:id="1318"/>
      <w:bookmarkEnd w:id="1319"/>
      <w:bookmarkEnd w:id="1320"/>
      <w:bookmarkEnd w:id="1321"/>
      <w:bookmarkEnd w:id="1322"/>
    </w:p>
    <w:tbl>
      <w:tblPr>
        <w:tblW w:w="1682" w:type="dxa"/>
        <w:jc w:val="left"/>
        <w:tblInd w:w="0" w:type="dxa"/>
        <w:tblCellMar>
          <w:top w:w="0" w:type="dxa"/>
          <w:left w:w="0" w:type="dxa"/>
          <w:bottom w:w="0" w:type="dxa"/>
          <w:right w:w="0" w:type="dxa"/>
        </w:tblCellMar>
      </w:tblPr>
      <w:tblGrid>
        <w:gridCol w:w="271"/>
        <w:gridCol w:w="1411"/>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7.</w:t>
            </w:r>
          </w:p>
        </w:tc>
        <w:tc>
          <w:tcPr>
            <w:tcW w:w="14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INVENTORIES</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Inventories consist of the following at:</w:t>
      </w:r>
    </w:p>
    <w:p>
      <w:pPr>
        <w:pStyle w:val="TextBody"/>
        <w:spacing w:before="0" w:after="0"/>
        <w:ind w:left="0" w:right="0" w:firstLine="720"/>
        <w:jc w:val="both"/>
        <w:rPr/>
      </w:pPr>
      <w:r>
        <w:rPr/>
        <w:t>​</w:t>
      </w:r>
    </w:p>
    <w:tbl>
      <w:tblPr>
        <w:tblW w:w="4375" w:type="dxa"/>
        <w:jc w:val="left"/>
        <w:tblInd w:w="0" w:type="dxa"/>
        <w:tblCellMar>
          <w:top w:w="0" w:type="dxa"/>
          <w:left w:w="0" w:type="dxa"/>
          <w:bottom w:w="0" w:type="dxa"/>
          <w:right w:w="0" w:type="dxa"/>
        </w:tblCellMar>
      </w:tblPr>
      <w:tblGrid>
        <w:gridCol w:w="1426"/>
        <w:gridCol w:w="326"/>
        <w:gridCol w:w="211"/>
        <w:gridCol w:w="781"/>
        <w:gridCol w:w="326"/>
        <w:gridCol w:w="250"/>
        <w:gridCol w:w="1055"/>
      </w:tblGrid>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95935" cy="175260"/>
                      <wp:effectExtent l="0" t="0" r="0" b="0"/>
                      <wp:wrapNone/>
                      <wp:docPr id="279" name="Frame27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07010" cy="175260"/>
                      <wp:effectExtent l="0" t="0" r="0" b="0"/>
                      <wp:wrapNone/>
                      <wp:docPr id="280" name="Frame28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58750" cy="175260"/>
                      <wp:effectExtent l="0" t="0" r="0" b="0"/>
                      <wp:wrapNone/>
                      <wp:docPr id="281" name="Frame281"/>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69925" cy="175260"/>
                      <wp:effectExtent l="0" t="0" r="0" b="0"/>
                      <wp:wrapNone/>
                      <wp:docPr id="282" name="Frame282"/>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14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421,914</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467,392</w:t>
            </w:r>
          </w:p>
        </w:tc>
      </w:tr>
      <w:tr>
        <w:trPr/>
        <w:tc>
          <w:tcPr>
            <w:tcW w:w="142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Work in process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1,615</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1,688</w:t>
            </w:r>
          </w:p>
        </w:tc>
      </w:tr>
      <w:tr>
        <w:trPr/>
        <w:tc>
          <w:tcPr>
            <w:tcW w:w="142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483,194</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466,551</w:t>
            </w:r>
          </w:p>
        </w:tc>
      </w:tr>
      <w:tr>
        <w:trPr/>
        <w:tc>
          <w:tcPr>
            <w:tcW w:w="14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906,723</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935,631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1323" w:name="Tc_qBLES9XyHEuG_3HgvaFJZA_14_5"/>
      <w:bookmarkStart w:id="1324" w:name="Tc_Xh2_CnCyIUeNhfgmL4O-Yg_14_2"/>
      <w:bookmarkStart w:id="1325" w:name="Tc_fWZEz3zO-EaDejU7S9FJYg_13_0"/>
      <w:bookmarkStart w:id="1326" w:name="Tc_EUEj_tsWPUqF912nG65aZw_11_0"/>
      <w:bookmarkStart w:id="1327" w:name="Tc_H8Isxa0yvkukxdnYjGivFg_10_0"/>
      <w:bookmarkStart w:id="1328" w:name="Tc_8u9IcOhdJUKVCgADFous6w_9_0"/>
      <w:bookmarkStart w:id="1329" w:name="Tc_hpcVmllJsEmZZ_3iCR4A1w_8_0"/>
      <w:bookmarkStart w:id="1330" w:name="Tc_tuWOFOikA0CVUTXVuBlS-A_7_0"/>
      <w:bookmarkStart w:id="1331" w:name="Tc_D1MFakKuLEK1qvwJ2j_9HQ_6_0"/>
      <w:bookmarkStart w:id="1332" w:name="Tc_5Y_KdHfP1E2MaD7VZH2g7Q_5_0"/>
      <w:bookmarkStart w:id="1333" w:name="Tc_IFbpTdrP2kivWlIBdYEIIQ_4_0"/>
      <w:bookmarkStart w:id="1334" w:name="Tc_iyW3VLrSrUGdLqOqGI5ClA_3_5"/>
      <w:bookmarkStart w:id="1335" w:name="Tc_gn-U90-Ry0ismB7eBj6PLA_3_2"/>
      <w:bookmarkStart w:id="1336" w:name="Tc_HgP78uAA_Eeva3vmJa9ekg_3_0"/>
      <w:bookmarkStart w:id="1337" w:name="Tc_lVlLJ-ALyUi0gX2EOkElBw_2_5"/>
      <w:bookmarkStart w:id="1338" w:name="Tc_1stxGtRhskGJHsG0ko4OZg_2_2"/>
      <w:bookmarkStart w:id="1339" w:name="Tc_LUb_SV912E6NzMSxjUpnOQ_1_5"/>
      <w:bookmarkStart w:id="1340" w:name="Tc_b5143NXHvkujdvXKH4QhkA_1_2"/>
      <w:bookmarkStart w:id="1341" w:name="Tc_qBLES9XyHEuG_3HgvaFJZA_14_5"/>
      <w:bookmarkStart w:id="1342" w:name="Tc_Xh2_CnCyIUeNhfgmL4O-Yg_14_2"/>
      <w:bookmarkStart w:id="1343" w:name="Tc_fWZEz3zO-EaDejU7S9FJYg_13_0"/>
      <w:bookmarkStart w:id="1344" w:name="Tc_EUEj_tsWPUqF912nG65aZw_11_0"/>
      <w:bookmarkStart w:id="1345" w:name="Tc_H8Isxa0yvkukxdnYjGivFg_10_0"/>
      <w:bookmarkStart w:id="1346" w:name="Tc_8u9IcOhdJUKVCgADFous6w_9_0"/>
      <w:bookmarkStart w:id="1347" w:name="Tc_hpcVmllJsEmZZ_3iCR4A1w_8_0"/>
      <w:bookmarkStart w:id="1348" w:name="Tc_tuWOFOikA0CVUTXVuBlS-A_7_0"/>
      <w:bookmarkStart w:id="1349" w:name="Tc_D1MFakKuLEK1qvwJ2j_9HQ_6_0"/>
      <w:bookmarkStart w:id="1350" w:name="Tc_5Y_KdHfP1E2MaD7VZH2g7Q_5_0"/>
      <w:bookmarkStart w:id="1351" w:name="Tc_IFbpTdrP2kivWlIBdYEIIQ_4_0"/>
      <w:bookmarkStart w:id="1352" w:name="Tc_iyW3VLrSrUGdLqOqGI5ClA_3_5"/>
      <w:bookmarkStart w:id="1353" w:name="Tc_gn-U90-Ry0ismB7eBj6PLA_3_2"/>
      <w:bookmarkStart w:id="1354" w:name="Tc_HgP78uAA_Eeva3vmJa9ekg_3_0"/>
      <w:bookmarkStart w:id="1355" w:name="Tc_lVlLJ-ALyUi0gX2EOkElBw_2_5"/>
      <w:bookmarkStart w:id="1356" w:name="Tc_1stxGtRhskGJHsG0ko4OZg_2_2"/>
      <w:bookmarkStart w:id="1357" w:name="Tc_LUb_SV912E6NzMSxjUpnOQ_1_5"/>
      <w:bookmarkStart w:id="1358" w:name="Tc_b5143NXHvkujdvXKH4QhkA_1_2"/>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p>
    <w:tbl>
      <w:tblPr>
        <w:tblW w:w="3482" w:type="dxa"/>
        <w:jc w:val="left"/>
        <w:tblInd w:w="0" w:type="dxa"/>
        <w:tblCellMar>
          <w:top w:w="0" w:type="dxa"/>
          <w:left w:w="0" w:type="dxa"/>
          <w:bottom w:w="0" w:type="dxa"/>
          <w:right w:w="0" w:type="dxa"/>
        </w:tblCellMar>
      </w:tblPr>
      <w:tblGrid>
        <w:gridCol w:w="271"/>
        <w:gridCol w:w="3211"/>
      </w:tblGrid>
      <w:tr>
        <w:trPr/>
        <w:tc>
          <w:tcPr>
            <w:tcW w:w="27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8.</w:t>
            </w:r>
          </w:p>
        </w:tc>
        <w:tc>
          <w:tcPr>
            <w:tcW w:w="32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PROPERTY AND EQUIPMENT, NET</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Property and equipment consist of the following at:</w:t>
      </w:r>
    </w:p>
    <w:p>
      <w:pPr>
        <w:pStyle w:val="TextBody"/>
        <w:spacing w:before="0" w:after="0"/>
        <w:ind w:left="0" w:right="0" w:firstLine="720"/>
        <w:jc w:val="both"/>
        <w:rPr/>
      </w:pPr>
      <w:r>
        <w:rPr/>
        <w:t>​</w:t>
      </w:r>
    </w:p>
    <w:tbl>
      <w:tblPr>
        <w:tblW w:w="7180" w:type="dxa"/>
        <w:jc w:val="left"/>
        <w:tblInd w:w="0" w:type="dxa"/>
        <w:tblCellMar>
          <w:top w:w="0" w:type="dxa"/>
          <w:left w:w="0" w:type="dxa"/>
          <w:bottom w:w="0" w:type="dxa"/>
          <w:right w:w="0" w:type="dxa"/>
        </w:tblCellMar>
      </w:tblPr>
      <w:tblGrid>
        <w:gridCol w:w="4111"/>
        <w:gridCol w:w="326"/>
        <w:gridCol w:w="211"/>
        <w:gridCol w:w="901"/>
        <w:gridCol w:w="326"/>
        <w:gridCol w:w="250"/>
        <w:gridCol w:w="1055"/>
      </w:tblGrid>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207010" cy="175260"/>
                      <wp:effectExtent l="0" t="0" r="0" b="0"/>
                      <wp:wrapNone/>
                      <wp:docPr id="283" name="Frame2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33985" cy="175260"/>
                      <wp:effectExtent l="0" t="0" r="0" b="0"/>
                      <wp:wrapNone/>
                      <wp:docPr id="284" name="Frame2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72135" cy="175260"/>
                      <wp:effectExtent l="0" t="0" r="0" b="0"/>
                      <wp:wrapNone/>
                      <wp:docPr id="285" name="Frame28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8750" cy="175260"/>
                      <wp:effectExtent l="0" t="0" r="0" b="0"/>
                      <wp:wrapNone/>
                      <wp:docPr id="287" name="Frame287"/>
                      <a:graphic xmlns:a="http://schemas.openxmlformats.org/drawingml/2006/main">
                        <a:graphicData uri="http://schemas.microsoft.com/office/word/2010/wordprocessingShape">
                          <wps:wsp>
                            <wps:cNvSpPr txBox="1"/>
                            <wps:spPr>
                              <a:xfrm>
                                <a:off x="0" y="0"/>
                                <a:ext cx="1587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69925" cy="175260"/>
                      <wp:effectExtent l="0" t="0" r="0" b="0"/>
                      <wp:wrapNone/>
                      <wp:docPr id="288" name="Frame288"/>
                      <a:graphic xmlns:a="http://schemas.openxmlformats.org/drawingml/2006/main">
                        <a:graphicData uri="http://schemas.microsoft.com/office/word/2010/wordprocessingShape">
                          <wps:wsp>
                            <wps:cNvSpPr txBox="1"/>
                            <wps:spPr>
                              <a:xfrm>
                                <a:off x="0" y="0"/>
                                <a:ext cx="669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Land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139,922</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139,798</w:t>
            </w:r>
          </w:p>
        </w:tc>
      </w:tr>
      <w:tr>
        <w:trPr/>
        <w:tc>
          <w:tcPr>
            <w:tcW w:w="41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31,753</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31,327</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Furniture and fixtures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9,286</w:t>
            </w:r>
          </w:p>
        </w:tc>
      </w:tr>
      <w:tr>
        <w:trPr/>
        <w:tc>
          <w:tcPr>
            <w:tcW w:w="41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Office and computer 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22,532</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22,386</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Computer software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5,310</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5,906</w:t>
            </w:r>
          </w:p>
        </w:tc>
      </w:tr>
      <w:tr>
        <w:trPr/>
        <w:tc>
          <w:tcPr>
            <w:tcW w:w="41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Equipment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255,991</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244,739</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Buildings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164,821</w:t>
            </w:r>
          </w:p>
        </w:tc>
        <w:tc>
          <w:tcPr>
            <w:tcW w:w="326" w:type="dxa"/>
            <w:tcBorders/>
            <w:shd w:fill="CCEEFF" w:val="clear"/>
            <w:vAlign w:val="center"/>
          </w:tcPr>
          <w:p>
            <w:pPr>
              <w:pStyle w:val="TableContents"/>
              <w:spacing w:before="0" w:after="0"/>
              <w:ind w:left="0" w:right="0" w:hanging="0"/>
              <w:rPr/>
            </w:pPr>
            <w:r>
              <w:rPr/>
              <w:t>​</w:t>
            </w:r>
          </w:p>
        </w:tc>
        <w:tc>
          <w:tcPr>
            <w:tcW w:w="250" w:type="dxa"/>
            <w:tcBorders/>
            <w:shd w:fill="CCEEFF" w:val="clear"/>
            <w:vAlign w:val="center"/>
          </w:tcPr>
          <w:p>
            <w:pPr>
              <w:pStyle w:val="TableContents"/>
              <w:spacing w:before="0" w:after="0"/>
              <w:ind w:left="0" w:right="0" w:hanging="0"/>
              <w:rPr/>
            </w:pPr>
            <w:r>
              <w:rPr/>
              <w:t> </w:t>
            </w:r>
          </w:p>
        </w:tc>
        <w:tc>
          <w:tcPr>
            <w:tcW w:w="105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163,885</w:t>
            </w:r>
          </w:p>
        </w:tc>
      </w:tr>
      <w:tr>
        <w:trPr/>
        <w:tc>
          <w:tcPr>
            <w:tcW w:w="41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Vehicles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51,675</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49,175</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Assets under construction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111,283</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83,553</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792,622</w:t>
            </w:r>
          </w:p>
        </w:tc>
        <w:tc>
          <w:tcPr>
            <w:tcW w:w="326" w:type="dxa"/>
            <w:tcBorders/>
            <w:shd w:fill="auto" w:val="clear"/>
            <w:vAlign w:val="center"/>
          </w:tcPr>
          <w:p>
            <w:pPr>
              <w:pStyle w:val="TableContents"/>
              <w:spacing w:before="0" w:after="0"/>
              <w:ind w:left="0" w:right="0" w:hanging="0"/>
              <w:rPr/>
            </w:pPr>
            <w:r>
              <w:rPr/>
              <w:t>​</w:t>
            </w:r>
          </w:p>
        </w:tc>
        <w:tc>
          <w:tcPr>
            <w:tcW w:w="250" w:type="dxa"/>
            <w:tcBorders/>
            <w:shd w:fill="auto" w:val="clear"/>
            <w:vAlign w:val="center"/>
          </w:tcPr>
          <w:p>
            <w:pPr>
              <w:pStyle w:val="TableContents"/>
              <w:spacing w:before="0" w:after="0"/>
              <w:ind w:left="0" w:right="0" w:hanging="0"/>
              <w:rPr/>
            </w:pPr>
            <w:r>
              <w:rPr/>
              <w:t> </w:t>
            </w:r>
          </w:p>
        </w:tc>
        <w:tc>
          <w:tcPr>
            <w:tcW w:w="105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750,055</w:t>
            </w:r>
          </w:p>
        </w:tc>
      </w:tr>
      <w:tr>
        <w:trPr/>
        <w:tc>
          <w:tcPr>
            <w:tcW w:w="41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(246,700)</w:t>
            </w:r>
          </w:p>
        </w:tc>
        <w:tc>
          <w:tcPr>
            <w:tcW w:w="326" w:type="dxa"/>
            <w:tcBorders/>
            <w:shd w:fill="CCEEFF" w:val="clear"/>
            <w:vAlign w:val="center"/>
          </w:tcPr>
          <w:p>
            <w:pPr>
              <w:pStyle w:val="TableContents"/>
              <w:spacing w:before="0" w:after="0"/>
              <w:ind w:left="0" w:right="0" w:hanging="0"/>
              <w:rPr/>
            </w:pPr>
            <w:r>
              <w:rPr/>
              <w:t>​</w:t>
            </w:r>
          </w:p>
        </w:tc>
        <w:tc>
          <w:tcPr>
            <w:tcW w:w="25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5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(233,158)</w:t>
            </w:r>
          </w:p>
        </w:tc>
      </w:tr>
      <w:tr>
        <w:trPr/>
        <w:tc>
          <w:tcPr>
            <w:tcW w:w="41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545,922</w:t>
            </w:r>
          </w:p>
        </w:tc>
        <w:tc>
          <w:tcPr>
            <w:tcW w:w="326" w:type="dxa"/>
            <w:tcBorders/>
            <w:shd w:fill="auto" w:val="clear"/>
            <w:vAlign w:val="center"/>
          </w:tcPr>
          <w:p>
            <w:pPr>
              <w:pStyle w:val="TableContents"/>
              <w:spacing w:before="0" w:after="0"/>
              <w:ind w:left="0" w:right="0" w:hanging="0"/>
              <w:rPr/>
            </w:pPr>
            <w:r>
              <w:rPr/>
              <w:t>​</w:t>
            </w:r>
          </w:p>
        </w:tc>
        <w:tc>
          <w:tcPr>
            <w:tcW w:w="25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516,897</w:t>
            </w:r>
          </w:p>
        </w:tc>
      </w:tr>
    </w:tbl>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Total depreciation and amortization expense was $14.8 million and $13.1 million for the three-months ended March 31, 2023 and 2022, respectively.</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1359" w:name="Tc_Op4ZLVJ0SUCRvYmxF8deWg_7_5"/>
      <w:bookmarkStart w:id="1360" w:name="Tc_yRrlEnspikCoXpU9HzeJdQ_7_2"/>
      <w:bookmarkStart w:id="1361" w:name="Tc_ZQ8_dBgyfkGjsF3Kp-t57A_6_0"/>
      <w:bookmarkStart w:id="1362" w:name="Tc_xqYu8IOjbkml1XaUQoU-VA_4_0"/>
      <w:bookmarkStart w:id="1363" w:name="Tc_HW2HrB5bbUKqn0n2rvt8jw_3_5"/>
      <w:bookmarkStart w:id="1364" w:name="Tc_1cf5HUvFaU-yE5Jw9TswBw_3_2"/>
      <w:bookmarkStart w:id="1365" w:name="Tc_NhY96zsWZkyJjTSoaatFbQ_3_0"/>
      <w:bookmarkStart w:id="1366" w:name="Tc_l81T3B1TZkmqxHST4KsxOw_2_5"/>
      <w:bookmarkStart w:id="1367" w:name="Tc_lgKpapPsPUmUusOtPSwgPQ_2_2"/>
      <w:bookmarkStart w:id="1368" w:name="Tc_mcRufXEYK0OA_lXlC2X8GQ_1_5"/>
      <w:bookmarkStart w:id="1369" w:name="Tc_fdnx617OU0CyOTQ2IbIQ2g_1_2"/>
      <w:bookmarkStart w:id="1370" w:name="_e9768743_e4a2_4b35_bdd8_e8f6ac51ab82"/>
      <w:bookmarkStart w:id="1371" w:name="Tc_sTambbFA3EaJsZm3i1ajNQ_6_14"/>
      <w:bookmarkStart w:id="1372" w:name="Tc_IQ42nV3rdU-WxV1p9_O6_w_6_11"/>
      <w:bookmarkStart w:id="1373" w:name="Tc_RKHelVwpoU2qbY0Rl9gtwA_6_8"/>
      <w:bookmarkStart w:id="1374" w:name="Tc_oQzJUVbIPkCnFKh1KjiQ7Q_6_5"/>
      <w:bookmarkStart w:id="1375" w:name="Tc_L6Qunef-AESsqpCTg7RCXA_6_2"/>
      <w:bookmarkStart w:id="1376" w:name="Tc_kyOy7ludMUGKlhCL_AICCA_6_0"/>
      <w:bookmarkStart w:id="1377" w:name="Tc_2QLWqMnT_EaNBtrOHieY9A_5_0"/>
      <w:bookmarkStart w:id="1378" w:name="Tc_uXUvz0YA9UOWGJPdqe3g5A_4_14"/>
      <w:bookmarkStart w:id="1379" w:name="Tc_TsXpkgT08UOuVUan3FkXmA_4_11"/>
      <w:bookmarkStart w:id="1380" w:name="Tc_ICbbUJKrTEyW4VlD9RGaSQ_4_8"/>
      <w:bookmarkStart w:id="1381" w:name="Tc_cKQHASJpTk2_IgiT7mhxlw_4_5"/>
      <w:bookmarkStart w:id="1382" w:name="Tc_fJNj8slc5kKc7qtDs4qrHA_4_2"/>
      <w:bookmarkStart w:id="1383" w:name="Tc_bK04UmfdQEmwIHQpvz587A_4_0"/>
      <w:bookmarkStart w:id="1384" w:name="Tc_hkjHxzqnXUKsOY8ZvF_L4A_3_14"/>
      <w:bookmarkStart w:id="1385" w:name="Tc_lQ5p2mqHUkKUBtbkQM_Maw_3_11"/>
      <w:bookmarkStart w:id="1386" w:name="Tc_WTCEE4Eh-kegdx_N5mS9nw_3_8"/>
      <w:bookmarkStart w:id="1387" w:name="Tc_iKZUdvxyK0iVTD6X73Iz0g_3_5"/>
      <w:bookmarkStart w:id="1388" w:name="Tc_9n5RXdpebkuA2ag3YRfw0Q_3_2"/>
      <w:bookmarkStart w:id="1389" w:name="Tc_pj-XbDuTWU61I7HXHBb7hA_2_8"/>
      <w:bookmarkStart w:id="1390" w:name="Tc_KdffrbOgfkSNT7EqWPaPSg_2_5"/>
      <w:bookmarkStart w:id="1391" w:name="Tc_lNG5Hn9_IkOE2lytISrahg_2_2"/>
      <w:bookmarkStart w:id="1392" w:name="Tc__vaJ09L8D0q5hW52JeZpFA_1_2"/>
      <w:bookmarkStart w:id="1393" w:name="_aed5bb4a_25e7_4df6_b4bb_6ba46d5c6895"/>
      <w:bookmarkStart w:id="1394" w:name="Tc_iwWcO0PN70GLT1NwYQVWcw_6_14"/>
      <w:bookmarkStart w:id="1395" w:name="Tc_qsAmkIyDi0eFOrl4PCvyYg_6_11"/>
      <w:bookmarkStart w:id="1396" w:name="Tc_YvJqjZNLokyKEbKHsgOSmA_6_8"/>
      <w:bookmarkStart w:id="1397" w:name="Tc_LC37bdvylEW-MaJq7W9MZg_6_5"/>
      <w:bookmarkStart w:id="1398" w:name="Tc_6Jiu6h1YEk6Y6RG58EudiQ_6_2"/>
      <w:bookmarkStart w:id="1399" w:name="Tc_LMBZYtNklE2IPPqW6ErVRQ_6_0"/>
      <w:bookmarkStart w:id="1400" w:name="Tc_2aODCb58pE2pgNjEfqzlxA_5_0"/>
      <w:bookmarkStart w:id="1401" w:name="Tc_MYPSDWS3z0KeZ-5EQgLXuw_4_14"/>
      <w:bookmarkStart w:id="1402" w:name="Tc_oxoVLevH10y2o8SR3egFog_4_11"/>
      <w:bookmarkStart w:id="1403" w:name="Tc_vtlpmxubm0mDVAdhDTFWxw_4_8"/>
      <w:bookmarkStart w:id="1404" w:name="Tc_xatiTibMwkasfYjgk_Hudw_4_5"/>
      <w:bookmarkStart w:id="1405" w:name="Tc_W2amdilw_0y4AdMVJVmqLQ_4_2"/>
      <w:bookmarkStart w:id="1406" w:name="Tc_Lg8_HvYSHkmvxMLZxT3gkw_4_0"/>
      <w:bookmarkStart w:id="1407" w:name="Tc_FDkprYeIhU6djHkpAhsNFQ_3_14"/>
      <w:bookmarkStart w:id="1408" w:name="Tc_aweOcyAesESJ5ZkjrRvqBQ_3_11"/>
      <w:bookmarkStart w:id="1409" w:name="Tc_3NpEdZF4vEicvR7Pl2z-GA_3_8"/>
      <w:bookmarkStart w:id="1410" w:name="Tc_Lzmv4beYYEubkiSS7dBH4A_3_5"/>
      <w:bookmarkStart w:id="1411" w:name="Tc_E-lelzpzpU-AfdkDp0zmBQ_3_2"/>
      <w:bookmarkStart w:id="1412" w:name="Tc_n3npHjIx-Um-ubIR_jxrsg_2_8"/>
      <w:bookmarkStart w:id="1413" w:name="Tc_onDGDMX_O0qUJL1EOxizoA_2_5"/>
      <w:bookmarkStart w:id="1414" w:name="Tc_wYH5FNWZZE-lqJ8ngpcOGA_2_2"/>
      <w:bookmarkStart w:id="1415" w:name="Tc_kjzJ631sUkC-uGEjnYMmSw_1_2"/>
      <w:bookmarkStart w:id="1416" w:name="_2e69e3ea_1eb2_4ded_a12e_71cac5175567"/>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r>
        <w:rPr>
          <w:rFonts w:ascii="Times New Roman;Times;serif" w:hAnsi="Times New Roman;Times;serif"/>
          <w:b w:val="false"/>
          <w:i w:val="false"/>
          <w:caps w:val="false"/>
          <w:smallCaps w:val="false"/>
          <w:sz w:val="20"/>
        </w:rPr>
        <w:t>9.</w:t>
      </w:r>
      <w:r>
        <w:rPr>
          <w:rFonts w:ascii="Times New Roman;Times;serif" w:hAnsi="Times New Roman;Times;serif"/>
          <w:sz w:val="20"/>
        </w:rPr>
        <w:t xml:space="preserve">GOODWILL AND OTHER INTANGIBLE ASSETS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goodwill for the three-months ended March 31, 2023 and 2022 by reportable segment:</w:t>
      </w:r>
    </w:p>
    <w:p>
      <w:pPr>
        <w:pStyle w:val="TextBody"/>
        <w:spacing w:before="0" w:after="0"/>
        <w:ind w:left="0" w:right="0" w:firstLine="720"/>
        <w:jc w:val="both"/>
        <w:rPr/>
      </w:pPr>
      <w:r>
        <w:rPr/>
        <w:t>​</w:t>
      </w:r>
    </w:p>
    <w:tbl>
      <w:tblPr>
        <w:tblW w:w="8901" w:type="dxa"/>
        <w:jc w:val="left"/>
        <w:tblInd w:w="0" w:type="dxa"/>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07010" cy="175260"/>
                      <wp:effectExtent l="0" t="0" r="0" b="0"/>
                      <wp:wrapNone/>
                      <wp:docPr id="289" name="Frame28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133985" cy="175260"/>
                      <wp:effectExtent l="0" t="0" r="0" b="0"/>
                      <wp:wrapNone/>
                      <wp:docPr id="290" name="Frame29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495935" cy="175260"/>
                      <wp:effectExtent l="0" t="0" r="0" b="0"/>
                      <wp:wrapNone/>
                      <wp:docPr id="291" name="Frame291"/>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92" name="Frame29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33985" cy="175260"/>
                      <wp:effectExtent l="0" t="0" r="0" b="0"/>
                      <wp:wrapNone/>
                      <wp:docPr id="293" name="Frame29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495935" cy="175260"/>
                      <wp:effectExtent l="0" t="0" r="0" b="0"/>
                      <wp:wrapNone/>
                      <wp:docPr id="294" name="Frame29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33985" cy="175260"/>
                      <wp:effectExtent l="0" t="0" r="0" b="0"/>
                      <wp:wrapNone/>
                      <wp:docPr id="296" name="Frame2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429260" cy="175260"/>
                      <wp:effectExtent l="0" t="0" r="0" b="0"/>
                      <wp:wrapNone/>
                      <wp:docPr id="297" name="Frame297"/>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133985" cy="175260"/>
                      <wp:effectExtent l="0" t="0" r="0" b="0"/>
                      <wp:wrapNone/>
                      <wp:docPr id="299" name="Frame2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33985" cy="175260"/>
                      <wp:effectExtent l="0" t="0" r="0" b="0"/>
                      <wp:wrapNone/>
                      <wp:docPr id="302" name="Frame30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57860" cy="175260"/>
                      <wp:effectExtent l="0" t="0" r="0" b="0"/>
                      <wp:wrapNone/>
                      <wp:docPr id="303" name="Frame30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Monster</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1,417,941</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86,298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1,417,941</w:t>
            </w:r>
          </w:p>
        </w:tc>
      </w:tr>
    </w:tbl>
    <w:p>
      <w:pPr>
        <w:pStyle w:val="TextBody"/>
        <w:spacing w:before="0" w:after="0"/>
        <w:ind w:left="0" w:right="0" w:hanging="0"/>
        <w:rPr/>
      </w:pPr>
      <w:r>
        <w:rPr/>
        <w:t>​</w:t>
      </w:r>
    </w:p>
    <w:tbl>
      <w:tblPr>
        <w:tblW w:w="8901" w:type="dxa"/>
        <w:jc w:val="left"/>
        <w:tblInd w:w="0" w:type="dxa"/>
        <w:tblCellMar>
          <w:top w:w="0" w:type="dxa"/>
          <w:left w:w="0" w:type="dxa"/>
          <w:bottom w:w="0" w:type="dxa"/>
          <w:right w:w="0" w:type="dxa"/>
        </w:tblCellMar>
      </w:tblPr>
      <w:tblGrid>
        <w:gridCol w:w="2596"/>
        <w:gridCol w:w="326"/>
        <w:gridCol w:w="211"/>
        <w:gridCol w:w="781"/>
        <w:gridCol w:w="326"/>
        <w:gridCol w:w="211"/>
        <w:gridCol w:w="781"/>
        <w:gridCol w:w="326"/>
        <w:gridCol w:w="211"/>
        <w:gridCol w:w="676"/>
        <w:gridCol w:w="326"/>
        <w:gridCol w:w="211"/>
        <w:gridCol w:w="346"/>
        <w:gridCol w:w="326"/>
        <w:gridCol w:w="211"/>
        <w:gridCol w:w="1036"/>
      </w:tblGrid>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07010" cy="175260"/>
                      <wp:effectExtent l="0" t="0" r="0" b="0"/>
                      <wp:wrapNone/>
                      <wp:docPr id="304" name="Frame3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33985" cy="175260"/>
                      <wp:effectExtent l="0" t="0" r="0" b="0"/>
                      <wp:wrapNone/>
                      <wp:docPr id="305" name="Frame30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495935" cy="175260"/>
                      <wp:effectExtent l="0" t="0" r="0" b="0"/>
                      <wp:wrapNone/>
                      <wp:docPr id="306" name="Frame30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7" name="Frame30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33985" cy="175260"/>
                      <wp:effectExtent l="0" t="0" r="0" b="0"/>
                      <wp:wrapNone/>
                      <wp:docPr id="308" name="Frame308"/>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95935" cy="175260"/>
                      <wp:effectExtent l="0" t="0" r="0" b="0"/>
                      <wp:wrapNone/>
                      <wp:docPr id="309" name="Frame309"/>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10" name="Frame3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33985" cy="175260"/>
                      <wp:effectExtent l="0" t="0" r="0" b="0"/>
                      <wp:wrapNone/>
                      <wp:docPr id="311" name="Frame31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29260" cy="175260"/>
                      <wp:effectExtent l="0" t="0" r="0" b="0"/>
                      <wp:wrapNone/>
                      <wp:docPr id="312" name="Frame312"/>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19710" cy="175260"/>
                      <wp:effectExtent l="0" t="0" r="0" b="0"/>
                      <wp:wrapNone/>
                      <wp:docPr id="315" name="Frame315"/>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07010" cy="175260"/>
                      <wp:effectExtent l="0" t="0" r="0" b="0"/>
                      <wp:wrapNone/>
                      <wp:docPr id="316" name="Frame31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133985" cy="175260"/>
                      <wp:effectExtent l="0" t="0" r="0" b="0"/>
                      <wp:wrapNone/>
                      <wp:docPr id="317" name="Frame31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57860" cy="175260"/>
                      <wp:effectExtent l="0" t="0" r="0" b="0"/>
                      <wp:wrapNone/>
                      <wp:docPr id="318" name="Frame31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Monster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Energy®</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Strategic</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Alcohol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34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center"/>
              <w:rPr/>
            </w:pPr>
            <w:r>
              <w:rPr/>
              <w:t>​</w:t>
            </w:r>
          </w:p>
        </w:tc>
      </w:tr>
      <w:tr>
        <w:trPr/>
        <w:tc>
          <w:tcPr>
            <w:tcW w:w="25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Drinks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Brands</w:t>
            </w:r>
          </w:p>
        </w:tc>
        <w:tc>
          <w:tcPr>
            <w:tcW w:w="326" w:type="dxa"/>
            <w:tcBorders/>
            <w:shd w:fill="auto" w:val="clear"/>
            <w:vAlign w:val="center"/>
          </w:tcPr>
          <w:p>
            <w:pPr>
              <w:pStyle w:val="TableContents"/>
              <w:spacing w:before="0" w:after="0"/>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Other</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1,331,643</w:t>
            </w:r>
          </w:p>
        </w:tc>
      </w:tr>
      <w:tr>
        <w:trPr/>
        <w:tc>
          <w:tcPr>
            <w:tcW w:w="259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Acquisitions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80,285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80,285</w:t>
            </w:r>
          </w:p>
        </w:tc>
      </w:tr>
      <w:tr>
        <w:trPr/>
        <w:tc>
          <w:tcPr>
            <w:tcW w:w="259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693,644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637,999</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80,285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1,411,928</w:t>
            </w:r>
          </w:p>
        </w:tc>
      </w:tr>
    </w:tbl>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Intangible assets consist of the following at:</w:t>
      </w:r>
    </w:p>
    <w:p>
      <w:pPr>
        <w:pStyle w:val="TextBody"/>
        <w:spacing w:before="0" w:after="0"/>
        <w:ind w:left="0" w:right="0" w:firstLine="720"/>
        <w:jc w:val="both"/>
        <w:rPr/>
      </w:pPr>
      <w:r>
        <w:rPr/>
        <w:t>​</w:t>
      </w:r>
    </w:p>
    <w:tbl>
      <w:tblPr>
        <w:tblW w:w="5470" w:type="dxa"/>
        <w:jc w:val="left"/>
        <w:tblInd w:w="0" w:type="dxa"/>
        <w:tblCellMar>
          <w:top w:w="0" w:type="dxa"/>
          <w:left w:w="0" w:type="dxa"/>
          <w:bottom w:w="0" w:type="dxa"/>
          <w:right w:w="0" w:type="dxa"/>
        </w:tblCellMar>
      </w:tblPr>
      <w:tblGrid>
        <w:gridCol w:w="2371"/>
        <w:gridCol w:w="326"/>
        <w:gridCol w:w="211"/>
        <w:gridCol w:w="931"/>
        <w:gridCol w:w="326"/>
        <w:gridCol w:w="220"/>
        <w:gridCol w:w="1085"/>
      </w:tblGrid>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33985" cy="175260"/>
                      <wp:effectExtent l="0" t="0" r="0" b="0"/>
                      <wp:wrapNone/>
                      <wp:docPr id="320" name="Frame32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591185" cy="175260"/>
                      <wp:effectExtent l="0" t="0" r="0" b="0"/>
                      <wp:wrapNone/>
                      <wp:docPr id="321" name="Frame32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22" name="Frame3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139700" cy="175260"/>
                      <wp:effectExtent l="0" t="0" r="0" b="0"/>
                      <wp:wrapNone/>
                      <wp:docPr id="323" name="Frame323"/>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88975" cy="175260"/>
                      <wp:effectExtent l="0" t="0" r="0" b="0"/>
                      <wp:wrapNone/>
                      <wp:docPr id="324" name="Frame324"/>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37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37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Amortizing intangibles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121,378</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121,378</w:t>
            </w:r>
          </w:p>
        </w:tc>
      </w:tr>
      <w:tr>
        <w:trPr/>
        <w:tc>
          <w:tcPr>
            <w:tcW w:w="23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Accumulated amortization</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(70,800)</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(68,790)</w:t>
            </w:r>
          </w:p>
        </w:tc>
      </w:tr>
      <w:tr>
        <w:trPr/>
        <w:tc>
          <w:tcPr>
            <w:tcW w:w="23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50,578</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52,588</w:t>
            </w:r>
          </w:p>
        </w:tc>
      </w:tr>
      <w:tr>
        <w:trPr/>
        <w:tc>
          <w:tcPr>
            <w:tcW w:w="237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Non-amortizing intangibles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1,172,020</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1,167,822</w:t>
            </w:r>
          </w:p>
        </w:tc>
      </w:tr>
      <w:tr>
        <w:trPr/>
        <w:tc>
          <w:tcPr>
            <w:tcW w:w="237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1,222,598</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1,220,410</w:t>
            </w:r>
          </w:p>
        </w:tc>
      </w:tr>
    </w:tbl>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bookmarkStart w:id="1417" w:name="Tc_orCfihTI-kqOmU0MdMiaBA_7_2"/>
      <w:bookmarkStart w:id="1418" w:name="Tc_40SSgFvMGUuAmSUoJvLwNw_6_0"/>
      <w:bookmarkStart w:id="1419" w:name="Tc_tNKEsO9-AkG0-Os67i3o_Q_5_0"/>
      <w:bookmarkStart w:id="1420" w:name="Tc_ILUThnkyG0ehnCVn7Dq85g_4_0"/>
      <w:bookmarkStart w:id="1421" w:name="Tc_yOAcoJdDG0Wmn1z8obP7Jw_3_0"/>
      <w:bookmarkStart w:id="1422" w:name="Tc_xpqO3Gauh0KLkOdcXJ_QCA_2_0"/>
      <w:bookmarkStart w:id="1423" w:name="Tc_n_wWwbViIEC7DUtNF2AXtA_1_2"/>
      <w:bookmarkStart w:id="1424" w:name="Tc_701Sx6gWJkObXvMGEPZBnQ_1_0"/>
      <w:bookmarkEnd w:id="1417"/>
      <w:bookmarkEnd w:id="1418"/>
      <w:bookmarkEnd w:id="1419"/>
      <w:bookmarkEnd w:id="1420"/>
      <w:bookmarkEnd w:id="1421"/>
      <w:bookmarkEnd w:id="1422"/>
      <w:bookmarkEnd w:id="1423"/>
      <w:bookmarkEnd w:id="1424"/>
      <w:r>
        <w:rPr>
          <w:rFonts w:ascii="Times New Roman;Times;serif" w:hAnsi="Times New Roman;Times;serif"/>
          <w:sz w:val="20"/>
        </w:rPr>
        <w:t xml:space="preserve">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fifteen years. Total amortization expense was $2.0 million and $1.5 million for the three-months ended March 31, 2023 and 2022, respectively.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the future estimated amortization expense related to amortizing intangibles as of March 31, 2023:</w:t>
      </w:r>
    </w:p>
    <w:p>
      <w:pPr>
        <w:pStyle w:val="TextBody"/>
        <w:spacing w:before="0" w:after="0"/>
        <w:ind w:left="0" w:right="0" w:firstLine="720"/>
        <w:jc w:val="both"/>
        <w:rPr/>
      </w:pPr>
      <w:r>
        <w:rPr/>
        <w:t>​</w:t>
      </w:r>
    </w:p>
    <w:tbl>
      <w:tblPr>
        <w:tblW w:w="5354" w:type="dxa"/>
        <w:jc w:val="left"/>
        <w:tblInd w:w="0" w:type="dxa"/>
        <w:tblCellMar>
          <w:top w:w="0" w:type="dxa"/>
          <w:left w:w="0" w:type="dxa"/>
          <w:bottom w:w="0" w:type="dxa"/>
          <w:right w:w="0" w:type="dxa"/>
        </w:tblCellMar>
      </w:tblPr>
      <w:tblGrid>
        <w:gridCol w:w="4036"/>
        <w:gridCol w:w="326"/>
        <w:gridCol w:w="211"/>
        <w:gridCol w:w="781"/>
      </w:tblGrid>
      <w:tr>
        <w:trPr/>
        <w:tc>
          <w:tcPr>
            <w:tcW w:w="403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5" name="Frame32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495935" cy="175260"/>
                      <wp:effectExtent l="0" t="0" r="0" b="0"/>
                      <wp:wrapNone/>
                      <wp:docPr id="327" name="Frame32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2023 (from April 1, 2023 to December 31, 2023)</w:t>
            </w:r>
          </w:p>
        </w:tc>
        <w:tc>
          <w:tcPr>
            <w:tcW w:w="326" w:type="dxa"/>
            <w:tcBorders/>
            <w:shd w:fill="CCEEFF" w:val="clear"/>
            <w:vAlign w:val="center"/>
          </w:tcPr>
          <w:p>
            <w:pPr>
              <w:pStyle w:val="TableContents"/>
              <w:spacing w:before="0" w:after="0"/>
              <w:ind w:left="0" w:right="0" w:hanging="0"/>
              <w:rPr/>
            </w:pPr>
            <w:r>
              <w:rPr/>
              <w:t>    </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2,736</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3,648</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3,647</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3,647</w:t>
            </w:r>
          </w:p>
        </w:tc>
      </w:tr>
      <w:tr>
        <w:trPr/>
        <w:tc>
          <w:tcPr>
            <w:tcW w:w="403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3,646</w:t>
            </w:r>
          </w:p>
        </w:tc>
      </w:tr>
      <w:tr>
        <w:trPr/>
        <w:tc>
          <w:tcPr>
            <w:tcW w:w="403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2028 and thereafter</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33,254</w:t>
            </w:r>
          </w:p>
        </w:tc>
      </w:tr>
      <w:tr>
        <w:trPr/>
        <w:tc>
          <w:tcPr>
            <w:tcW w:w="403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50,578</w:t>
            </w:r>
          </w:p>
        </w:tc>
      </w:tr>
    </w:tbl>
    <w:p>
      <w:pPr>
        <w:pStyle w:val="TextBody"/>
        <w:spacing w:before="0" w:after="0"/>
        <w:ind w:left="0" w:right="0" w:firstLine="720"/>
        <w:jc w:val="both"/>
        <w:rPr/>
      </w:pPr>
      <w:r>
        <w:rPr/>
        <w:t>​</w:t>
      </w:r>
    </w:p>
    <w:p>
      <w:pPr>
        <w:pStyle w:val="TextBody"/>
        <w:spacing w:before="0" w:after="0"/>
        <w:ind w:left="0" w:right="0" w:firstLine="720"/>
        <w:jc w:val="both"/>
        <w:rPr/>
      </w:pPr>
      <w:r>
        <w:rPr/>
        <w:t>​</w:t>
      </w:r>
    </w:p>
    <w:tbl>
      <w:tblPr>
        <w:tblW w:w="3242" w:type="dxa"/>
        <w:jc w:val="left"/>
        <w:tblInd w:w="0" w:type="dxa"/>
        <w:tblCellMar>
          <w:top w:w="0" w:type="dxa"/>
          <w:left w:w="0" w:type="dxa"/>
          <w:bottom w:w="0" w:type="dxa"/>
          <w:right w:w="0" w:type="dxa"/>
        </w:tblCellMar>
      </w:tblPr>
      <w:tblGrid>
        <w:gridCol w:w="406"/>
        <w:gridCol w:w="2836"/>
      </w:tblGrid>
      <w:tr>
        <w:trPr/>
        <w:tc>
          <w:tcPr>
            <w:tcW w:w="40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2"/>
              </w:rPr>
              <w:t>10</w:t>
            </w:r>
            <w:r>
              <w:rPr>
                <w:rFonts w:ascii="Times New Roman;Times;serif" w:hAnsi="Times New Roman;Times;serif"/>
                <w:sz w:val="20"/>
              </w:rPr>
              <w:t>.</w:t>
            </w:r>
          </w:p>
        </w:tc>
        <w:tc>
          <w:tcPr>
            <w:tcW w:w="283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DISTRIBUTION AGREEMENTS</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$9.9 million and $10.0 million for the three-months ended March 31, 2023 and 2022, respectively.</w:t>
      </w:r>
    </w:p>
    <w:p>
      <w:pPr>
        <w:pStyle w:val="TextBody"/>
        <w:spacing w:before="0" w:after="0"/>
        <w:ind w:left="0" w:right="0" w:firstLine="720"/>
        <w:jc w:val="both"/>
        <w:rPr/>
      </w:pPr>
      <w:r>
        <w:rPr/>
        <w:t>​</w:t>
      </w:r>
    </w:p>
    <w:tbl>
      <w:tblPr>
        <w:tblW w:w="4022" w:type="dxa"/>
        <w:jc w:val="left"/>
        <w:tblInd w:w="0" w:type="dxa"/>
        <w:tblCellMar>
          <w:top w:w="0" w:type="dxa"/>
          <w:left w:w="0" w:type="dxa"/>
          <w:bottom w:w="0" w:type="dxa"/>
          <w:right w:w="0" w:type="dxa"/>
        </w:tblCellMar>
      </w:tblPr>
      <w:tblGrid>
        <w:gridCol w:w="376"/>
        <w:gridCol w:w="3646"/>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11.</w:t>
            </w:r>
          </w:p>
        </w:tc>
        <w:tc>
          <w:tcPr>
            <w:tcW w:w="36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COMMITMENTS AND CONTINGENCIES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purchase commitments aggregating approximately $336.8 million at March 31, 2023, which represented commitments made by the Company and its subsidiaries to various suppliers of raw materials for the production of its products. These obligations vary in terms, but are generally satisfied within one year.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had contractual obligations aggregating approximately $380.6 million at March 31, 2023, which related primarily to sponsorships and other marketing activities.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a credit facility with HSBC Bank (China) Company Limited, Shanghai Branch, of $15.0 million. At March 31, 2023, the interest rate on borrowings under the line of credit was 5.5%. As of March 31, 2023, $1.1 million was outstanding on this line of credit.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Litigation</w:t>
      </w:r>
      <w:r>
        <w:rPr>
          <w:rFonts w:ascii="Times New Roman;Times;serif" w:hAnsi="Times New Roman;Times;serif"/>
          <w:sz w:val="20"/>
        </w:rPr>
        <w:t xml:space="preserve"> — From time to time in the normal course of business, the Company is named in litigation, including labor and 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evaluates, on a quarterly basis, developments in legal proceedings and other matters that could cause an increase or decrease in the amount of the liability that is accrued, if any, and any related insurance reimbursements. As of March 31, 2023, $0.3 million of loss contingencies were included in the Company’s accompanying consolidated balance sheet. As of December 31, 2022, no loss contingencies were included in the Company’s accompanying consolidated balance sheet.</w:t>
      </w:r>
    </w:p>
    <w:p>
      <w:pPr>
        <w:pStyle w:val="TextBody"/>
        <w:spacing w:before="0" w:after="0"/>
        <w:ind w:left="0" w:right="0" w:firstLine="72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29, 2022, a jury in the U.S. District Court for the Central District of California (the “District Court”) awarded Monster Energy Company (“MEC”) approximately $293 million in damages in its false advertising and trade secrets case against Vital Pharmaceuticals, Inc. (“VPX”), the maker of Bang Energy. The jury found VPX and its former chief executive officer John H. Owoc to have falsely advertised the “Super Creatine” ingredient of Bang Energy and to have acted willfully and deliberately in violating the federal Lanham Act. The jury also found that VPX stole trade secrets and interfered with MEC’s contracts over shelf space with certain key vendors. On April 12, 2023, the District Court granted Monster’s motion for a permanent injunction which, among other things, enjoins VPX, Mr. Owoc, and others working in concert with them from falsely or deceptively claiming that BANG or any other beverages contain creatine or a form of creatine, requires them to remove all such advertising within 60 days, and requires VPX and Mr. Owoc to issue corrective statements to consumers and non-consumer partners, including retailers and distributors. The parties have completed briefing the remaining post-verdict issues, including MEC’s request for enhanced and punitive damages.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April 2022, MEC and Orange Bang, Inc. (“Orange Bang”) filed a joint motion in the District Court to confirm a final arbitration award against VPX that awarded MEC and Orange Bang $175.0 million and a 5% royalty on all future sales of VPX’s Bang Energy drink and other Bang-branded products as well as certain fees and costs. Pursuant to the terms of the agreement between MEC and Orange Bang, the award and future royalties will, after accounting for MEC’s expended fees and costs, be shared equally between MEC and Orange Bang.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September 29, 2022, the District Court entered final judgment confirming the award. On October 28, 2022, VPX filed a notice of appeal of the District Court’s final judgment confirming the award. </w:t>
      </w:r>
    </w:p>
    <w:p>
      <w:pPr>
        <w:pStyle w:val="TextBody"/>
        <w:spacing w:before="0" w:after="0"/>
        <w:ind w:left="0" w:right="0" w:firstLine="72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2022, VPX, along with certain of its domestic subsidiaries and affiliates, filed for protection under Chapter 11 of the Bankruptcy Code in the Southern District of Florida. Due to such ongoing proceedings, VPX’s appeal of the District Court’s final judgment confirming the final arbitration award is stayed. While reserving all rights to appeal, VPX made its first royalty payment of $3.6 million on February 14, 2023, which is for sales of Bang Energy drink and other Bang-branded products from October 10, 2022 through December 31, 2022. This payment is subject to potential claw back if, among other things, the judgment and final arbitration award are overturned on appeal or VPX becomes administratively insolvent. In addition, per ASC 450 “Contingencies”, the Company will not recognize the September 2022 jury award or the April 2022 arbitration award until the awards are realized or realizable. As of May 5, 2023, the proceedings have yet to progress to a stage where there is sufficient information for an accurate timeline of when the awards, including any royalty payments received, will be realized or realizable, if at all.</w:t>
      </w:r>
    </w:p>
    <w:p>
      <w:pPr>
        <w:pStyle w:val="TextBody"/>
        <w:spacing w:before="0" w:after="0"/>
        <w:ind w:left="0" w:right="0" w:hanging="0"/>
        <w:jc w:val="both"/>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1425" w:name="Tc_NeLuv4TbnUuLkeTwfFyAow_8_8"/>
      <w:bookmarkStart w:id="1426" w:name="Tc_i6w-iKgdPUiQrhsu_aoPcg_8_5"/>
      <w:bookmarkStart w:id="1427" w:name="Tc_rWcb7pgozkytqkgNKawc2w_8_2"/>
      <w:bookmarkStart w:id="1428" w:name="Tc_MDhunK4cM0yrhV1Ep5cKeA_8_0"/>
      <w:bookmarkStart w:id="1429" w:name="Tc_wRER3VIlB0-SF4tF8AgXhA_7_0"/>
      <w:bookmarkStart w:id="1430" w:name="Tc_vc1jdVdNO0avGS8J6UG1AQ_6_0"/>
      <w:bookmarkStart w:id="1431" w:name="Tc_9_HUymA3I0aKsE23iq8okw_5_8"/>
      <w:bookmarkStart w:id="1432" w:name="Tc_BOzwo-Yqs0mGJ5myWQ_2kw_5_5"/>
      <w:bookmarkStart w:id="1433" w:name="Tc_t3_PVyFVGU2tiL42fTEPYA_5_2"/>
      <w:bookmarkStart w:id="1434" w:name="Tc_Hk3-MLjm_Ua93oxieRSqsQ_5_0"/>
      <w:bookmarkStart w:id="1435" w:name="Tc_zxYShAyfnkerm_RHmlieew_4_8"/>
      <w:bookmarkStart w:id="1436" w:name="Tc_JqCrYZU5mUeGPQ0O95Z1Lw_4_5"/>
      <w:bookmarkStart w:id="1437" w:name="Tc_deJ7YGNog0eMx5EG72nh1g_4_2"/>
      <w:bookmarkStart w:id="1438" w:name="Tc_EEXq2U__10yJGP_N9gAA_w_3_5"/>
      <w:bookmarkStart w:id="1439" w:name="Tc_OTvaPh_d5E-WonPsE9moDw_3_2"/>
      <w:bookmarkStart w:id="1440" w:name="Tc_05G50ex5aEi2wz6B0bhd1w_2_5"/>
      <w:bookmarkStart w:id="1441" w:name="Tc_-D9AKCwSc0ankD7k2n2nLg_2_2"/>
      <w:bookmarkStart w:id="1442" w:name="Tc_XVY4ohATwk-yOrtZrNBrAw_1_5"/>
      <w:bookmarkStart w:id="1443" w:name="_54819f0d_37fa_4553_ae63_2f683f059320"/>
      <w:bookmarkStart w:id="1444" w:name="Tc_ZpEKfeype0qhWgFAVHvJQA_8_8"/>
      <w:bookmarkStart w:id="1445" w:name="Tc_7lePtY4lRkqwId7iGdaQVg_8_5"/>
      <w:bookmarkStart w:id="1446" w:name="Tc_Tc00gAaNGUqG7pXkEjEQog_8_2"/>
      <w:bookmarkStart w:id="1447" w:name="Tc_0rpK5Ink8Ey015DUxjieIA_8_0"/>
      <w:bookmarkStart w:id="1448" w:name="Tc_gYTlLXr21E24donSovYTFg_7_0"/>
      <w:bookmarkStart w:id="1449" w:name="Tc_mRG2jz0vvkiHyIr3gFoIKg_6_0"/>
      <w:bookmarkStart w:id="1450" w:name="Tc_VikbUemm7Ue6kJgtyZBo4w_5_8"/>
      <w:bookmarkStart w:id="1451" w:name="Tc_-0sGjGp3nUe8Z8NlDH5qsw_5_5"/>
      <w:bookmarkStart w:id="1452" w:name="Tc_1AfzD74CrEaG8iy1TU77dQ_5_2"/>
      <w:bookmarkStart w:id="1453" w:name="Tc_dqb6nclsH0-yQCnSKic-mw_5_0"/>
      <w:bookmarkStart w:id="1454" w:name="Tc_GVoFjy2UkkSsfi0izLoT0A_4_8"/>
      <w:bookmarkStart w:id="1455" w:name="Tc_Ug0QbMUYU0C5K8VUvS6ErA_4_5"/>
      <w:bookmarkStart w:id="1456" w:name="Tc_UeRI36CtE0S9t0RmT8AvkA_4_2"/>
      <w:bookmarkStart w:id="1457" w:name="Tc_kIqcylA6akqBqRZjpJlSIg_3_5"/>
      <w:bookmarkStart w:id="1458" w:name="Tc_-AHG1n8gzEKdqP983ITmlQ_3_2"/>
      <w:bookmarkStart w:id="1459" w:name="Tc_fIOjTPWYMEOcxcMWEttC8Q_2_5"/>
      <w:bookmarkStart w:id="1460" w:name="Tc_hNo2jWE0TkCGAoBAQwwuzg_2_2"/>
      <w:bookmarkStart w:id="1461" w:name="Tc_ZiDCV5oWKEW2ybShDv7zwg_1_5"/>
      <w:bookmarkStart w:id="1462" w:name="_ce60d7f1_6680_451d_83ad_c274debf5c64"/>
      <w:bookmarkStart w:id="1463" w:name="Tc_NeLuv4TbnUuLkeTwfFyAow_8_8"/>
      <w:bookmarkStart w:id="1464" w:name="Tc_i6w-iKgdPUiQrhsu_aoPcg_8_5"/>
      <w:bookmarkStart w:id="1465" w:name="Tc_rWcb7pgozkytqkgNKawc2w_8_2"/>
      <w:bookmarkStart w:id="1466" w:name="Tc_MDhunK4cM0yrhV1Ep5cKeA_8_0"/>
      <w:bookmarkStart w:id="1467" w:name="Tc_wRER3VIlB0-SF4tF8AgXhA_7_0"/>
      <w:bookmarkStart w:id="1468" w:name="Tc_vc1jdVdNO0avGS8J6UG1AQ_6_0"/>
      <w:bookmarkStart w:id="1469" w:name="Tc_9_HUymA3I0aKsE23iq8okw_5_8"/>
      <w:bookmarkStart w:id="1470" w:name="Tc_BOzwo-Yqs0mGJ5myWQ_2kw_5_5"/>
      <w:bookmarkStart w:id="1471" w:name="Tc_t3_PVyFVGU2tiL42fTEPYA_5_2"/>
      <w:bookmarkStart w:id="1472" w:name="Tc_Hk3-MLjm_Ua93oxieRSqsQ_5_0"/>
      <w:bookmarkStart w:id="1473" w:name="Tc_zxYShAyfnkerm_RHmlieew_4_8"/>
      <w:bookmarkStart w:id="1474" w:name="Tc_JqCrYZU5mUeGPQ0O95Z1Lw_4_5"/>
      <w:bookmarkStart w:id="1475" w:name="Tc_deJ7YGNog0eMx5EG72nh1g_4_2"/>
      <w:bookmarkStart w:id="1476" w:name="Tc_EEXq2U__10yJGP_N9gAA_w_3_5"/>
      <w:bookmarkStart w:id="1477" w:name="Tc_OTvaPh_d5E-WonPsE9moDw_3_2"/>
      <w:bookmarkStart w:id="1478" w:name="Tc_05G50ex5aEi2wz6B0bhd1w_2_5"/>
      <w:bookmarkStart w:id="1479" w:name="Tc_-D9AKCwSc0ankD7k2n2nLg_2_2"/>
      <w:bookmarkStart w:id="1480" w:name="Tc_XVY4ohATwk-yOrtZrNBrAw_1_5"/>
      <w:bookmarkStart w:id="1481" w:name="_54819f0d_37fa_4553_ae63_2f683f059320"/>
      <w:bookmarkStart w:id="1482" w:name="Tc_ZpEKfeype0qhWgFAVHvJQA_8_8"/>
      <w:bookmarkStart w:id="1483" w:name="Tc_7lePtY4lRkqwId7iGdaQVg_8_5"/>
      <w:bookmarkStart w:id="1484" w:name="Tc_Tc00gAaNGUqG7pXkEjEQog_8_2"/>
      <w:bookmarkStart w:id="1485" w:name="Tc_0rpK5Ink8Ey015DUxjieIA_8_0"/>
      <w:bookmarkStart w:id="1486" w:name="Tc_gYTlLXr21E24donSovYTFg_7_0"/>
      <w:bookmarkStart w:id="1487" w:name="Tc_mRG2jz0vvkiHyIr3gFoIKg_6_0"/>
      <w:bookmarkStart w:id="1488" w:name="Tc_VikbUemm7Ue6kJgtyZBo4w_5_8"/>
      <w:bookmarkStart w:id="1489" w:name="Tc_-0sGjGp3nUe8Z8NlDH5qsw_5_5"/>
      <w:bookmarkStart w:id="1490" w:name="Tc_1AfzD74CrEaG8iy1TU77dQ_5_2"/>
      <w:bookmarkStart w:id="1491" w:name="Tc_dqb6nclsH0-yQCnSKic-mw_5_0"/>
      <w:bookmarkStart w:id="1492" w:name="Tc_GVoFjy2UkkSsfi0izLoT0A_4_8"/>
      <w:bookmarkStart w:id="1493" w:name="Tc_Ug0QbMUYU0C5K8VUvS6ErA_4_5"/>
      <w:bookmarkStart w:id="1494" w:name="Tc_UeRI36CtE0S9t0RmT8AvkA_4_2"/>
      <w:bookmarkStart w:id="1495" w:name="Tc_kIqcylA6akqBqRZjpJlSIg_3_5"/>
      <w:bookmarkStart w:id="1496" w:name="Tc_-AHG1n8gzEKdqP983ITmlQ_3_2"/>
      <w:bookmarkStart w:id="1497" w:name="Tc_fIOjTPWYMEOcxcMWEttC8Q_2_5"/>
      <w:bookmarkStart w:id="1498" w:name="Tc_hNo2jWE0TkCGAoBAQwwuzg_2_2"/>
      <w:bookmarkStart w:id="1499" w:name="Tc_ZiDCV5oWKEW2ybShDv7zwg_1_5"/>
      <w:bookmarkStart w:id="1500" w:name="_ce60d7f1_6680_451d_83ad_c274debf5c64"/>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p>
    <w:tbl>
      <w:tblPr>
        <w:tblW w:w="4877" w:type="dxa"/>
        <w:jc w:val="left"/>
        <w:tblInd w:w="0" w:type="dxa"/>
        <w:tblCellMar>
          <w:top w:w="0" w:type="dxa"/>
          <w:left w:w="0" w:type="dxa"/>
          <w:bottom w:w="0" w:type="dxa"/>
          <w:right w:w="0" w:type="dxa"/>
        </w:tblCellMar>
      </w:tblPr>
      <w:tblGrid>
        <w:gridCol w:w="376"/>
        <w:gridCol w:w="4501"/>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12.</w:t>
            </w:r>
          </w:p>
        </w:tc>
        <w:tc>
          <w:tcPr>
            <w:tcW w:w="450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ACCUMULATED OTHER COMPREHENSIVE LOSS</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Changes in accumulated other comprehensive loss by component, after tax, for the three-months ended March 31, 2023 and 2022 are as follows:</w:t>
      </w:r>
    </w:p>
    <w:p>
      <w:pPr>
        <w:pStyle w:val="TextBody"/>
        <w:spacing w:before="0" w:after="0"/>
        <w:ind w:left="0" w:right="0" w:firstLine="720"/>
        <w:jc w:val="both"/>
        <w:rPr/>
      </w:pPr>
      <w:r>
        <w:rPr/>
        <w:t>​</w:t>
      </w:r>
    </w:p>
    <w:tbl>
      <w:tblPr>
        <w:tblW w:w="9143" w:type="dxa"/>
        <w:jc w:val="left"/>
        <w:tblInd w:w="0" w:type="dxa"/>
        <w:tblCellMar>
          <w:top w:w="0" w:type="dxa"/>
          <w:left w:w="0" w:type="dxa"/>
          <w:bottom w:w="0" w:type="dxa"/>
          <w:right w:w="0" w:type="dxa"/>
        </w:tblCellMar>
      </w:tblPr>
      <w:tblGrid>
        <w:gridCol w:w="4396"/>
        <w:gridCol w:w="326"/>
        <w:gridCol w:w="211"/>
        <w:gridCol w:w="901"/>
        <w:gridCol w:w="326"/>
        <w:gridCol w:w="375"/>
        <w:gridCol w:w="1125"/>
        <w:gridCol w:w="326"/>
        <w:gridCol w:w="211"/>
        <w:gridCol w:w="946"/>
      </w:tblGrid>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72135" cy="175260"/>
                      <wp:effectExtent l="0" t="0" r="0" b="0"/>
                      <wp:wrapNone/>
                      <wp:docPr id="330" name="Frame33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07010" cy="175260"/>
                      <wp:effectExtent l="0" t="0" r="0" b="0"/>
                      <wp:wrapNone/>
                      <wp:docPr id="331" name="Frame3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38125" cy="175260"/>
                      <wp:effectExtent l="0" t="0" r="0" b="0"/>
                      <wp:wrapNone/>
                      <wp:docPr id="332" name="Frame332"/>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14375" cy="175260"/>
                      <wp:effectExtent l="0" t="0" r="0" b="0"/>
                      <wp:wrapNone/>
                      <wp:docPr id="333" name="Frame333"/>
                      <a:graphic xmlns:a="http://schemas.openxmlformats.org/drawingml/2006/main">
                        <a:graphicData uri="http://schemas.microsoft.com/office/word/2010/wordprocessingShape">
                          <wps:wsp>
                            <wps:cNvSpPr txBox="1"/>
                            <wps:spPr>
                              <a:xfrm>
                                <a:off x="0" y="0"/>
                                <a:ext cx="714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07010" cy="175260"/>
                      <wp:effectExtent l="0" t="0" r="0" b="0"/>
                      <wp:wrapNone/>
                      <wp:docPr id="334" name="Frame3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133985" cy="175260"/>
                      <wp:effectExtent l="0" t="0" r="0" b="0"/>
                      <wp:wrapNone/>
                      <wp:docPr id="335" name="Frame33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00710" cy="175260"/>
                      <wp:effectExtent l="0" t="0" r="0" b="0"/>
                      <wp:wrapNone/>
                      <wp:docPr id="336" name="Frame336"/>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center"/>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11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shd w:fill="auto" w:val="clear"/>
            <w:vAlign w:val="center"/>
          </w:tcPr>
          <w:p>
            <w:pPr>
              <w:pStyle w:val="TableContents"/>
              <w:spacing w:before="0" w:after="0"/>
              <w:ind w:left="0" w:right="0" w:hanging="0"/>
              <w:jc w:val="center"/>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center"/>
              <w:rPr/>
            </w:pPr>
            <w:r>
              <w:rPr/>
              <w:t>​</w:t>
            </w:r>
          </w:p>
        </w:tc>
      </w:tr>
      <w:tr>
        <w:trPr/>
        <w:tc>
          <w:tcPr>
            <w:tcW w:w="439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3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(153,230)</w:t>
            </w:r>
          </w:p>
        </w:tc>
        <w:tc>
          <w:tcPr>
            <w:tcW w:w="326" w:type="dxa"/>
            <w:tcBorders/>
            <w:shd w:fill="CCEEFF" w:val="clear"/>
            <w:vAlign w:val="center"/>
          </w:tcPr>
          <w:p>
            <w:pPr>
              <w:pStyle w:val="TableContents"/>
              <w:spacing w:before="0" w:after="0"/>
              <w:ind w:left="0" w:right="0" w:hanging="0"/>
              <w:jc w:val="right"/>
              <w:rPr/>
            </w:pPr>
            <w:r>
              <w:rPr/>
              <w:t>​</w:t>
            </w:r>
          </w:p>
        </w:tc>
        <w:tc>
          <w:tcPr>
            <w:tcW w:w="3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(5,843)</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(159,073)</w:t>
            </w:r>
          </w:p>
        </w:tc>
      </w:tr>
      <w:tr>
        <w:trPr/>
        <w:tc>
          <w:tcPr>
            <w:tcW w:w="43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comprehensive income before reclassifications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7,981</w:t>
            </w:r>
          </w:p>
        </w:tc>
        <w:tc>
          <w:tcPr>
            <w:tcW w:w="326" w:type="dxa"/>
            <w:tcBorders/>
            <w:shd w:fill="auto" w:val="clear"/>
            <w:vAlign w:val="center"/>
          </w:tcPr>
          <w:p>
            <w:pPr>
              <w:pStyle w:val="TableContents"/>
              <w:spacing w:before="0" w:after="0"/>
              <w:ind w:left="0" w:right="0" w:hanging="0"/>
              <w:jc w:val="right"/>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11,162</w:t>
            </w:r>
          </w:p>
        </w:tc>
      </w:tr>
      <w:tr>
        <w:trPr/>
        <w:tc>
          <w:tcPr>
            <w:tcW w:w="439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 xml:space="preserve">Net current-period other comprehensive income </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7,981</w:t>
            </w:r>
          </w:p>
        </w:tc>
        <w:tc>
          <w:tcPr>
            <w:tcW w:w="326" w:type="dxa"/>
            <w:tcBorders/>
            <w:shd w:fill="CCEEFF" w:val="clear"/>
            <w:vAlign w:val="center"/>
          </w:tcPr>
          <w:p>
            <w:pPr>
              <w:pStyle w:val="TableContents"/>
              <w:spacing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3,181</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94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11,162</w:t>
            </w:r>
          </w:p>
        </w:tc>
      </w:tr>
      <w:tr>
        <w:trPr/>
        <w:tc>
          <w:tcPr>
            <w:tcW w:w="439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(145,249)</w:t>
            </w:r>
          </w:p>
        </w:tc>
        <w:tc>
          <w:tcPr>
            <w:tcW w:w="326" w:type="dxa"/>
            <w:tcBorders/>
            <w:shd w:fill="auto" w:val="clear"/>
            <w:vAlign w:val="center"/>
          </w:tcPr>
          <w:p>
            <w:pPr>
              <w:pStyle w:val="TableContents"/>
              <w:spacing w:before="0" w:after="0"/>
              <w:ind w:left="0" w:right="0" w:hanging="0"/>
              <w:jc w:val="right"/>
              <w:rPr/>
            </w:pPr>
            <w:r>
              <w:rPr/>
              <w:t>​</w:t>
            </w:r>
          </w:p>
        </w:tc>
        <w:tc>
          <w:tcPr>
            <w:tcW w:w="3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(2,662)</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(147,911)</w:t>
            </w:r>
          </w:p>
        </w:tc>
      </w:tr>
    </w:tbl>
    <w:p>
      <w:pPr>
        <w:pStyle w:val="TextBody"/>
        <w:spacing w:before="0" w:after="0"/>
        <w:ind w:left="0" w:right="0" w:hanging="0"/>
        <w:rPr/>
      </w:pPr>
      <w:r>
        <w:rPr/>
        <w:t>​</w:t>
      </w:r>
    </w:p>
    <w:tbl>
      <w:tblPr>
        <w:tblW w:w="9442" w:type="dxa"/>
        <w:jc w:val="left"/>
        <w:tblInd w:w="0" w:type="dxa"/>
        <w:tblCellMar>
          <w:top w:w="0" w:type="dxa"/>
          <w:left w:w="0" w:type="dxa"/>
          <w:bottom w:w="0" w:type="dxa"/>
          <w:right w:w="0" w:type="dxa"/>
        </w:tblCellMar>
      </w:tblPr>
      <w:tblGrid>
        <w:gridCol w:w="4876"/>
        <w:gridCol w:w="326"/>
        <w:gridCol w:w="230"/>
        <w:gridCol w:w="806"/>
        <w:gridCol w:w="326"/>
        <w:gridCol w:w="375"/>
        <w:gridCol w:w="1125"/>
        <w:gridCol w:w="326"/>
        <w:gridCol w:w="211"/>
        <w:gridCol w:w="841"/>
      </w:tblGrid>
      <w:tr>
        <w:trPr/>
        <w:tc>
          <w:tcPr>
            <w:tcW w:w="48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3096260" cy="175260"/>
                      <wp:effectExtent l="0" t="0" r="0" b="0"/>
                      <wp:wrapNone/>
                      <wp:docPr id="337" name="Frame337"/>
                      <a:graphic xmlns:a="http://schemas.openxmlformats.org/drawingml/2006/main">
                        <a:graphicData uri="http://schemas.microsoft.com/office/word/2010/wordprocessingShape">
                          <wps:wsp>
                            <wps:cNvSpPr txBox="1"/>
                            <wps:spPr>
                              <a:xfrm>
                                <a:off x="0" y="0"/>
                                <a:ext cx="3096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146050" cy="175260"/>
                      <wp:effectExtent l="0" t="0" r="0" b="0"/>
                      <wp:wrapNone/>
                      <wp:docPr id="339" name="Frame339"/>
                      <a:graphic xmlns:a="http://schemas.openxmlformats.org/drawingml/2006/main">
                        <a:graphicData uri="http://schemas.microsoft.com/office/word/2010/wordprocessingShape">
                          <wps:wsp>
                            <wps:cNvSpPr txBox="1"/>
                            <wps:spPr>
                              <a:xfrm>
                                <a:off x="0" y="0"/>
                                <a:ext cx="1460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511810" cy="175260"/>
                      <wp:effectExtent l="0" t="0" r="0" b="0"/>
                      <wp:wrapNone/>
                      <wp:docPr id="340" name="Frame340"/>
                      <a:graphic xmlns:a="http://schemas.openxmlformats.org/drawingml/2006/main">
                        <a:graphicData uri="http://schemas.microsoft.com/office/word/2010/wordprocessingShape">
                          <wps:wsp>
                            <wps:cNvSpPr txBox="1"/>
                            <wps:spPr>
                              <a:xfrm>
                                <a:off x="0" y="0"/>
                                <a:ext cx="511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38125" cy="175260"/>
                      <wp:effectExtent l="0" t="0" r="0" b="0"/>
                      <wp:wrapNone/>
                      <wp:docPr id="342" name="Frame342"/>
                      <a:graphic xmlns:a="http://schemas.openxmlformats.org/drawingml/2006/main">
                        <a:graphicData uri="http://schemas.microsoft.com/office/word/2010/wordprocessingShape">
                          <wps:wsp>
                            <wps:cNvSpPr txBox="1"/>
                            <wps:spPr>
                              <a:xfrm>
                                <a:off x="0" y="0"/>
                                <a:ext cx="2381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2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14375" cy="175260"/>
                      <wp:effectExtent l="0" t="0" r="0" b="0"/>
                      <wp:wrapNone/>
                      <wp:docPr id="343" name="Frame343"/>
                      <a:graphic xmlns:a="http://schemas.openxmlformats.org/drawingml/2006/main">
                        <a:graphicData uri="http://schemas.microsoft.com/office/word/2010/wordprocessingShape">
                          <wps:wsp>
                            <wps:cNvSpPr txBox="1"/>
                            <wps:spPr>
                              <a:xfrm>
                                <a:off x="0" y="0"/>
                                <a:ext cx="7143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33985" cy="175260"/>
                      <wp:effectExtent l="0" t="0" r="0" b="0"/>
                      <wp:wrapNone/>
                      <wp:docPr id="345" name="Frame34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34035" cy="175260"/>
                      <wp:effectExtent l="0" t="0" r="0" b="0"/>
                      <wp:wrapNone/>
                      <wp:docPr id="346" name="Frame346"/>
                      <a:graphic xmlns:a="http://schemas.openxmlformats.org/drawingml/2006/main">
                        <a:graphicData uri="http://schemas.microsoft.com/office/word/2010/wordprocessingShape">
                          <wps:wsp>
                            <wps:cNvSpPr txBox="1"/>
                            <wps:spPr>
                              <a:xfrm>
                                <a:off x="0" y="0"/>
                                <a:ext cx="534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0" w:type="dxa"/>
            <w:tcBorders/>
            <w:shd w:fill="auto" w:val="clear"/>
            <w:vAlign w:val="center"/>
          </w:tcPr>
          <w:p>
            <w:pPr>
              <w:pStyle w:val="TableContents"/>
              <w:spacing w:before="0" w:after="0"/>
              <w:ind w:left="0" w:right="0" w:hanging="0"/>
              <w:rPr/>
            </w:pPr>
            <w:r>
              <w:rPr/>
              <w:t>​</w:t>
            </w:r>
          </w:p>
        </w:tc>
        <w:tc>
          <w:tcPr>
            <w:tcW w:w="8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Unrealized</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rPr/>
            </w:pPr>
            <w:r>
              <w:rPr/>
              <w:t>​</w:t>
            </w:r>
          </w:p>
        </w:tc>
      </w:tr>
      <w:tr>
        <w:trPr/>
        <w:tc>
          <w:tcPr>
            <w:tcW w:w="4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Currency</w:t>
            </w:r>
          </w:p>
        </w:tc>
        <w:tc>
          <w:tcPr>
            <w:tcW w:w="326" w:type="dxa"/>
            <w:tcBorders/>
            <w:shd w:fill="auto" w:val="clear"/>
            <w:vAlign w:val="center"/>
          </w:tcPr>
          <w:p>
            <w:pPr>
              <w:pStyle w:val="TableContents"/>
              <w:spacing w:before="0" w:after="0"/>
              <w:ind w:left="0" w:right="0" w:hanging="0"/>
              <w:jc w:val="center"/>
              <w:rPr/>
            </w:pPr>
            <w:r>
              <w:rPr/>
              <w:t>​</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Gains (Losses)</w:t>
            </w:r>
          </w:p>
        </w:tc>
        <w:tc>
          <w:tcPr>
            <w:tcW w:w="326" w:type="dxa"/>
            <w:tcBorders/>
            <w:shd w:fill="auto" w:val="clear"/>
            <w:vAlign w:val="center"/>
          </w:tcPr>
          <w:p>
            <w:pPr>
              <w:pStyle w:val="TableContents"/>
              <w:spacing w:before="0" w:after="0"/>
              <w:ind w:left="0" w:right="0" w:hanging="0"/>
              <w:jc w:val="center"/>
              <w:rPr/>
            </w:pPr>
            <w:r>
              <w:rPr/>
              <w:t>​</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4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Translation</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on Available-for-</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841" w:type="dxa"/>
            <w:tcBorders/>
            <w:shd w:fill="auto" w:val="clear"/>
            <w:vAlign w:val="center"/>
          </w:tcPr>
          <w:p>
            <w:pPr>
              <w:pStyle w:val="TableContents"/>
              <w:spacing w:before="0" w:after="0"/>
              <w:ind w:left="0" w:right="0" w:hanging="0"/>
              <w:jc w:val="center"/>
              <w:rPr/>
            </w:pPr>
            <w:r>
              <w:rPr/>
              <w:t>​</w:t>
            </w:r>
          </w:p>
        </w:tc>
      </w:tr>
      <w:tr>
        <w:trPr/>
        <w:tc>
          <w:tcPr>
            <w:tcW w:w="487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Losses</w:t>
            </w:r>
          </w:p>
        </w:tc>
        <w:tc>
          <w:tcPr>
            <w:tcW w:w="326" w:type="dxa"/>
            <w:tcBorders/>
            <w:shd w:fill="auto" w:val="clear"/>
            <w:vAlign w:val="center"/>
          </w:tcPr>
          <w:p>
            <w:pPr>
              <w:pStyle w:val="TableContents"/>
              <w:spacing w:before="0" w:after="0"/>
              <w:ind w:left="0" w:right="0" w:hanging="0"/>
              <w:rPr/>
            </w:pPr>
            <w:r>
              <w:rPr/>
              <w:t>    </w:t>
            </w:r>
          </w:p>
        </w:tc>
        <w:tc>
          <w:tcPr>
            <w:tcW w:w="1500"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Sale Securities</w:t>
            </w:r>
          </w:p>
        </w:tc>
        <w:tc>
          <w:tcPr>
            <w:tcW w:w="326" w:type="dxa"/>
            <w:tcBorders/>
            <w:shd w:fill="auto" w:val="clear"/>
            <w:vAlign w:val="center"/>
          </w:tcPr>
          <w:p>
            <w:pPr>
              <w:pStyle w:val="TableContents"/>
              <w:spacing w:before="0" w:after="0"/>
              <w:ind w:left="0" w:right="0" w:hanging="0"/>
              <w:rPr/>
            </w:pPr>
            <w:r>
              <w:rPr/>
              <w:t>    </w:t>
            </w:r>
          </w:p>
        </w:tc>
        <w:tc>
          <w:tcPr>
            <w:tcW w:w="105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r>
      <w:tr>
        <w:trPr/>
        <w:tc>
          <w:tcPr>
            <w:tcW w:w="48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230"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(68,209)</w:t>
            </w:r>
          </w:p>
        </w:tc>
        <w:tc>
          <w:tcPr>
            <w:tcW w:w="326" w:type="dxa"/>
            <w:tcBorders/>
            <w:shd w:fill="CCEEFF" w:val="clear"/>
            <w:vAlign w:val="center"/>
          </w:tcPr>
          <w:p>
            <w:pPr>
              <w:pStyle w:val="TableContents"/>
              <w:spacing w:before="0" w:after="0"/>
              <w:ind w:left="0" w:right="0" w:hanging="0"/>
              <w:jc w:val="right"/>
              <w:rPr/>
            </w:pPr>
            <w:r>
              <w:rPr/>
              <w:t>​</w:t>
            </w:r>
          </w:p>
        </w:tc>
        <w:tc>
          <w:tcPr>
            <w:tcW w:w="37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(956)</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(69,165)</w:t>
            </w:r>
          </w:p>
        </w:tc>
      </w:tr>
      <w:tr>
        <w:trPr/>
        <w:tc>
          <w:tcPr>
            <w:tcW w:w="48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 comprehensive (loss) income before reclassifications</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0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auto" w:val="clear"/>
            <w:vAlign w:val="center"/>
          </w:tcPr>
          <w:p>
            <w:pPr>
              <w:pStyle w:val="TableContents"/>
              <w:spacing w:before="0" w:after="0"/>
              <w:ind w:left="0" w:right="0" w:hanging="0"/>
              <w:jc w:val="right"/>
              <w:rPr/>
            </w:pPr>
            <w:r>
              <w:rPr/>
              <w:t>​</w:t>
            </w:r>
          </w:p>
        </w:tc>
        <w:tc>
          <w:tcPr>
            <w:tcW w:w="375"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12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r>
      <w:tr>
        <w:trPr/>
        <w:tc>
          <w:tcPr>
            <w:tcW w:w="487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current-period other comprehensive (loss) income</w:t>
            </w:r>
          </w:p>
        </w:tc>
        <w:tc>
          <w:tcPr>
            <w:tcW w:w="326" w:type="dxa"/>
            <w:tcBorders/>
            <w:shd w:fill="CCEEFF" w:val="clear"/>
            <w:vAlign w:val="center"/>
          </w:tcPr>
          <w:p>
            <w:pPr>
              <w:pStyle w:val="TableContents"/>
              <w:spacing w:before="0" w:after="0"/>
              <w:ind w:left="0" w:right="0" w:hanging="0"/>
              <w:rPr/>
            </w:pPr>
            <w:r>
              <w:rPr/>
              <w:t>​</w:t>
            </w:r>
          </w:p>
        </w:tc>
        <w:tc>
          <w:tcPr>
            <w:tcW w:w="23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0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1,079</w:t>
            </w:r>
          </w:p>
        </w:tc>
        <w:tc>
          <w:tcPr>
            <w:tcW w:w="326" w:type="dxa"/>
            <w:tcBorders/>
            <w:shd w:fill="CCEEFF" w:val="clear"/>
            <w:vAlign w:val="center"/>
          </w:tcPr>
          <w:p>
            <w:pPr>
              <w:pStyle w:val="TableContents"/>
              <w:spacing w:before="0" w:after="0"/>
              <w:ind w:left="0" w:right="0" w:hanging="0"/>
              <w:jc w:val="right"/>
              <w:rPr/>
            </w:pPr>
            <w:r>
              <w:rPr/>
              <w:t>​</w:t>
            </w:r>
          </w:p>
        </w:tc>
        <w:tc>
          <w:tcPr>
            <w:tcW w:w="375"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112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(4,059)</w:t>
            </w:r>
          </w:p>
        </w:tc>
        <w:tc>
          <w:tcPr>
            <w:tcW w:w="326" w:type="dxa"/>
            <w:tcBorders/>
            <w:shd w:fill="CCEEFF" w:val="clear"/>
            <w:vAlign w:val="center"/>
          </w:tcPr>
          <w:p>
            <w:pPr>
              <w:pStyle w:val="TableContents"/>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w:t>
            </w:r>
          </w:p>
        </w:tc>
        <w:tc>
          <w:tcPr>
            <w:tcW w:w="84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(2,980)</w:t>
            </w:r>
          </w:p>
        </w:tc>
      </w:tr>
      <w:tr>
        <w:trPr/>
        <w:tc>
          <w:tcPr>
            <w:tcW w:w="487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March 31, 2022</w:t>
            </w:r>
          </w:p>
        </w:tc>
        <w:tc>
          <w:tcPr>
            <w:tcW w:w="326" w:type="dxa"/>
            <w:tcBorders/>
            <w:shd w:fill="auto" w:val="clear"/>
            <w:vAlign w:val="center"/>
          </w:tcPr>
          <w:p>
            <w:pPr>
              <w:pStyle w:val="TableContents"/>
              <w:spacing w:before="0" w:after="0"/>
              <w:ind w:left="0" w:right="0" w:hanging="0"/>
              <w:rPr/>
            </w:pPr>
            <w:r>
              <w:rPr/>
              <w:t>​</w:t>
            </w:r>
          </w:p>
        </w:tc>
        <w:tc>
          <w:tcPr>
            <w:tcW w:w="23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0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(67,130)</w:t>
            </w:r>
          </w:p>
        </w:tc>
        <w:tc>
          <w:tcPr>
            <w:tcW w:w="326" w:type="dxa"/>
            <w:tcBorders/>
            <w:shd w:fill="auto" w:val="clear"/>
            <w:vAlign w:val="center"/>
          </w:tcPr>
          <w:p>
            <w:pPr>
              <w:pStyle w:val="TableContents"/>
              <w:spacing w:before="0" w:after="0"/>
              <w:ind w:left="0" w:right="0" w:hanging="0"/>
              <w:jc w:val="right"/>
              <w:rPr/>
            </w:pPr>
            <w:r>
              <w:rPr/>
              <w:t>​</w:t>
            </w:r>
          </w:p>
        </w:tc>
        <w:tc>
          <w:tcPr>
            <w:tcW w:w="375"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(5,015)</w:t>
            </w:r>
          </w:p>
        </w:tc>
        <w:tc>
          <w:tcPr>
            <w:tcW w:w="326" w:type="dxa"/>
            <w:tcBorders/>
            <w:shd w:fill="auto" w:val="clear"/>
            <w:vAlign w:val="center"/>
          </w:tcPr>
          <w:p>
            <w:pPr>
              <w:pStyle w:val="TableContents"/>
              <w:spacing w:before="0" w:after="0"/>
              <w:ind w:left="0" w:right="0" w:hanging="0"/>
              <w:jc w:val="right"/>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(72,145)</w:t>
            </w:r>
          </w:p>
        </w:tc>
      </w:tr>
    </w:tbl>
    <w:p>
      <w:pPr>
        <w:pStyle w:val="TextBody"/>
        <w:spacing w:before="0" w:after="0"/>
        <w:ind w:left="0" w:right="0" w:hanging="0"/>
        <w:rPr/>
      </w:pPr>
      <w:r>
        <w:rPr/>
        <w:t>​</w:t>
      </w:r>
    </w:p>
    <w:p>
      <w:pPr>
        <w:pStyle w:val="TextBody"/>
        <w:spacing w:before="0" w:after="0"/>
        <w:ind w:left="0" w:right="0" w:hanging="0"/>
        <w:rPr/>
      </w:pPr>
      <w:r>
        <w:rPr/>
        <w:t>​</w:t>
      </w:r>
    </w:p>
    <w:tbl>
      <w:tblPr>
        <w:tblW w:w="2222" w:type="dxa"/>
        <w:jc w:val="left"/>
        <w:tblInd w:w="0" w:type="dxa"/>
        <w:tblCellMar>
          <w:top w:w="0" w:type="dxa"/>
          <w:left w:w="0" w:type="dxa"/>
          <w:bottom w:w="0" w:type="dxa"/>
          <w:right w:w="0" w:type="dxa"/>
        </w:tblCellMar>
      </w:tblPr>
      <w:tblGrid>
        <w:gridCol w:w="376"/>
        <w:gridCol w:w="1846"/>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13.</w:t>
            </w:r>
          </w:p>
        </w:tc>
        <w:tc>
          <w:tcPr>
            <w:tcW w:w="18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TREASURY STOCK</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10, 2023, the Company retired 170.0 million shares (stock split adjusted) of treasury stock owned by the Company. The retired stock had a carrying value of approximately$4.69 billion. The Company’s accounting policy upon the formal retirement of treasury stock is to deduct its par value from common stock and to reflect any excess of cost over par as a deduction from retained earnings.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March 31, 2023, no shares were repurchased under the June 2022 Repurchase Plan. As of May 5, 2023, $182.8 million remained available for repurchase under the June 2022 Repurchase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March 31, 2023, no shares were repurchased under the November 2022 Repurchase Plan. As of May 5, 2023, $500.0 million remained available for repurchase under the November 2022 Repurchase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$682.8 million as of May 5, 2023.</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2023, 1.7 million shares of common stock were purchased from employees in lieu of cash payments for options exercised or withholding taxes due for a total amount of $90.4 million. While such purchases are considered common stock repurchases, they are not counted as purchases against the Company’s authorized share repurchase programs. Such shares are included in common stock in treasury in the accompanying consolidated balance sheet at March 31,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1501" w:name="Tc_42CZUwqul0u27eq6l2nbOQ_6_4"/>
      <w:bookmarkStart w:id="1502" w:name="Tc_dxT9bN6RmkmbqQjyV8f1Yg_6_2"/>
      <w:bookmarkStart w:id="1503" w:name="Tc_FcKQhNmVT0akeWNwYI3ZDA_6_0"/>
      <w:bookmarkStart w:id="1504" w:name="Tc_jSIPIRHRLUCTwPDB7_5a_g_5_5"/>
      <w:bookmarkStart w:id="1505" w:name="Tc_vRxbpUuXDkGO-ORIIijq3A_5_3"/>
      <w:bookmarkStart w:id="1506" w:name="Tc_0tsvzB2X0EWjFESkt4UeTA_5_0"/>
      <w:bookmarkStart w:id="1507" w:name="Tc_jH8AZk9W302FHycLduz1tQ_4_5"/>
      <w:bookmarkStart w:id="1508" w:name="Tc_bvYrPBPMmkWsKQ2P2c81qQ_4_3"/>
      <w:bookmarkStart w:id="1509" w:name="Tc_MMdbIsiLsEuxI5tUOV9cZw_4_0"/>
      <w:bookmarkStart w:id="1510" w:name="Tc_FC2GU-fUuUqZWyo_ttqvmA_3_5"/>
      <w:bookmarkStart w:id="1511" w:name="Tc_OZtqCdxzPU6IaPh9CXZ5wg_3_3"/>
      <w:bookmarkStart w:id="1512" w:name="Tc_-B22gU57jEK0l6l6cIAiWA_3_0"/>
      <w:bookmarkStart w:id="1513" w:name="Tc_FbtscEJnYEmGBZb13a7X6Q_2_4"/>
      <w:bookmarkStart w:id="1514" w:name="Tc_pON9A1BYDU2UiZtvV-Dqtw_2_2"/>
      <w:bookmarkStart w:id="1515" w:name="Tc_mym_AP4QDEGsNfnC8vQGbg_1_2"/>
      <w:bookmarkStart w:id="1516" w:name="Tc_42CZUwqul0u27eq6l2nbOQ_6_4"/>
      <w:bookmarkStart w:id="1517" w:name="Tc_dxT9bN6RmkmbqQjyV8f1Yg_6_2"/>
      <w:bookmarkStart w:id="1518" w:name="Tc_FcKQhNmVT0akeWNwYI3ZDA_6_0"/>
      <w:bookmarkStart w:id="1519" w:name="Tc_jSIPIRHRLUCTwPDB7_5a_g_5_5"/>
      <w:bookmarkStart w:id="1520" w:name="Tc_vRxbpUuXDkGO-ORIIijq3A_5_3"/>
      <w:bookmarkStart w:id="1521" w:name="Tc_0tsvzB2X0EWjFESkt4UeTA_5_0"/>
      <w:bookmarkStart w:id="1522" w:name="Tc_jH8AZk9W302FHycLduz1tQ_4_5"/>
      <w:bookmarkStart w:id="1523" w:name="Tc_bvYrPBPMmkWsKQ2P2c81qQ_4_3"/>
      <w:bookmarkStart w:id="1524" w:name="Tc_MMdbIsiLsEuxI5tUOV9cZw_4_0"/>
      <w:bookmarkStart w:id="1525" w:name="Tc_FC2GU-fUuUqZWyo_ttqvmA_3_5"/>
      <w:bookmarkStart w:id="1526" w:name="Tc_OZtqCdxzPU6IaPh9CXZ5wg_3_3"/>
      <w:bookmarkStart w:id="1527" w:name="Tc_-B22gU57jEK0l6l6cIAiWA_3_0"/>
      <w:bookmarkStart w:id="1528" w:name="Tc_FbtscEJnYEmGBZb13a7X6Q_2_4"/>
      <w:bookmarkStart w:id="1529" w:name="Tc_pON9A1BYDU2UiZtvV-Dqtw_2_2"/>
      <w:bookmarkStart w:id="1530" w:name="Tc_mym_AP4QDEGsNfnC8vQGbg_1_2"/>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p>
    <w:tbl>
      <w:tblPr>
        <w:tblW w:w="3392" w:type="dxa"/>
        <w:jc w:val="left"/>
        <w:tblInd w:w="0" w:type="dxa"/>
        <w:tblCellMar>
          <w:top w:w="0" w:type="dxa"/>
          <w:left w:w="0" w:type="dxa"/>
          <w:bottom w:w="0" w:type="dxa"/>
          <w:right w:w="0" w:type="dxa"/>
        </w:tblCellMar>
      </w:tblPr>
      <w:tblGrid>
        <w:gridCol w:w="376"/>
        <w:gridCol w:w="3016"/>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14.</w:t>
            </w:r>
          </w:p>
        </w:tc>
        <w:tc>
          <w:tcPr>
            <w:tcW w:w="301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STOCK-BASED COMPENSATION</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two stock-based compensation plans under which shares were available for grant at March 31, 2023: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recorded $16.1 million and $16.3 million of compensation expense relating to outstanding options, restricted stock units, performance share units and other share-based awards during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tax benefit for tax deductions from non-qualified stock option exercises, disqualifying dispositions of incentive stock options and vesting of restricted stock units and performance share units for the three-months ended March 31, 2023 and 2022 was $25.9 million and $0.4 million, respectively.</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Stock Options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Company’s stock-based compensation plans, all stock options granted as of March 31, 2023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weighted-average assumptions were used to estimate the fair value of options granted during:</w:t>
      </w:r>
    </w:p>
    <w:p>
      <w:pPr>
        <w:pStyle w:val="TextBody"/>
        <w:spacing w:before="0" w:after="0"/>
        <w:ind w:left="0" w:right="0" w:firstLine="720"/>
        <w:jc w:val="both"/>
        <w:rPr/>
      </w:pPr>
      <w:r>
        <w:rPr/>
        <w:t>​</w:t>
      </w:r>
    </w:p>
    <w:tbl>
      <w:tblPr>
        <w:tblW w:w="5188" w:type="dxa"/>
        <w:jc w:val="left"/>
        <w:tblInd w:w="0" w:type="dxa"/>
        <w:tblCellMar>
          <w:top w:w="0" w:type="dxa"/>
          <w:left w:w="0" w:type="dxa"/>
          <w:bottom w:w="0" w:type="dxa"/>
          <w:right w:w="0" w:type="dxa"/>
        </w:tblCellMar>
      </w:tblPr>
      <w:tblGrid>
        <w:gridCol w:w="1846"/>
        <w:gridCol w:w="326"/>
        <w:gridCol w:w="1108"/>
        <w:gridCol w:w="484"/>
        <w:gridCol w:w="1108"/>
        <w:gridCol w:w="316"/>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172210" cy="175260"/>
                      <wp:effectExtent l="0" t="0" r="0" b="0"/>
                      <wp:wrapNone/>
                      <wp:docPr id="347" name="Frame347"/>
                      <a:graphic xmlns:a="http://schemas.openxmlformats.org/drawingml/2006/main">
                        <a:graphicData uri="http://schemas.microsoft.com/office/word/2010/wordprocessingShape">
                          <wps:wsp>
                            <wps:cNvSpPr txBox="1"/>
                            <wps:spPr>
                              <a:xfrm>
                                <a:off x="0" y="0"/>
                                <a:ext cx="1172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07010" cy="175260"/>
                      <wp:effectExtent l="0" t="0" r="0" b="0"/>
                      <wp:wrapNone/>
                      <wp:docPr id="348" name="Frame3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703580" cy="175260"/>
                      <wp:effectExtent l="0" t="0" r="0" b="0"/>
                      <wp:wrapNone/>
                      <wp:docPr id="349" name="Frame349"/>
                      <a:graphic xmlns:a="http://schemas.openxmlformats.org/drawingml/2006/main">
                        <a:graphicData uri="http://schemas.microsoft.com/office/word/2010/wordprocessingShape">
                          <wps:wsp>
                            <wps:cNvSpPr txBox="1"/>
                            <wps:spPr>
                              <a:xfrm>
                                <a:off x="0" y="0"/>
                                <a:ext cx="703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307340" cy="175260"/>
                      <wp:effectExtent l="0" t="0" r="0" b="0"/>
                      <wp:wrapNone/>
                      <wp:docPr id="350" name="Frame350"/>
                      <a:graphic xmlns:a="http://schemas.openxmlformats.org/drawingml/2006/main">
                        <a:graphicData uri="http://schemas.microsoft.com/office/word/2010/wordprocessingShape">
                          <wps:wsp>
                            <wps:cNvSpPr txBox="1"/>
                            <wps:spPr>
                              <a:xfrm>
                                <a:off x="0" y="0"/>
                                <a:ext cx="3073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10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703580" cy="175260"/>
                      <wp:effectExtent l="0" t="0" r="0" b="0"/>
                      <wp:wrapNone/>
                      <wp:docPr id="351" name="Frame351"/>
                      <a:graphic xmlns:a="http://schemas.openxmlformats.org/drawingml/2006/main">
                        <a:graphicData uri="http://schemas.microsoft.com/office/word/2010/wordprocessingShape">
                          <wps:wsp>
                            <wps:cNvSpPr txBox="1"/>
                            <wps:spPr>
                              <a:xfrm>
                                <a:off x="0" y="0"/>
                                <a:ext cx="7035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00660" cy="175260"/>
                      <wp:effectExtent l="0" t="0" r="0" b="0"/>
                      <wp:wrapNone/>
                      <wp:docPr id="352" name="Frame352"/>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0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 March 31,</w:t>
            </w:r>
          </w:p>
        </w:tc>
        <w:tc>
          <w:tcPr>
            <w:tcW w:w="316" w:type="dxa"/>
            <w:tcBorders/>
            <w:shd w:fill="auto" w:val="clear"/>
            <w:vAlign w:val="center"/>
          </w:tcPr>
          <w:p>
            <w:pPr>
              <w:pStyle w:val="TableContents"/>
              <w:spacing w:before="0" w:after="0"/>
              <w:ind w:left="0" w:right="0" w:hanging="0"/>
              <w:rPr/>
            </w:pPr>
            <w:r>
              <w:rPr/>
              <w:t>​</w:t>
            </w:r>
          </w:p>
        </w:tc>
      </w:tr>
      <w:tr>
        <w:trPr/>
        <w:tc>
          <w:tcPr>
            <w:tcW w:w="184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84" w:type="dxa"/>
            <w:tcBorders/>
            <w:shd w:fill="auto" w:val="clear"/>
            <w:vAlign w:val="center"/>
          </w:tcPr>
          <w:p>
            <w:pPr>
              <w:pStyle w:val="TableContents"/>
              <w:spacing w:before="0" w:after="0"/>
              <w:ind w:left="0" w:right="0" w:hanging="0"/>
              <w:rPr/>
            </w:pPr>
            <w:r>
              <w:rPr/>
              <w:t>    </w:t>
            </w:r>
          </w:p>
        </w:tc>
        <w:tc>
          <w:tcPr>
            <w:tcW w:w="110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16" w:type="dxa"/>
            <w:tcBorders/>
            <w:shd w:fill="auto" w:val="clear"/>
            <w:vAlign w:val="center"/>
          </w:tcPr>
          <w:p>
            <w:pPr>
              <w:pStyle w:val="TableContents"/>
              <w:spacing w:before="0" w:after="0"/>
              <w:ind w:left="0" w:right="0" w:hanging="0"/>
              <w:rPr/>
            </w:pPr>
            <w:r>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Dividend yield</w:t>
            </w:r>
          </w:p>
        </w:tc>
        <w:tc>
          <w:tcPr>
            <w:tcW w:w="326" w:type="dxa"/>
            <w:tcBorders/>
            <w:shd w:fill="CCEEFF" w:val="clear"/>
            <w:vAlign w:val="center"/>
          </w:tcPr>
          <w:p>
            <w:pPr>
              <w:pStyle w:val="TableContents"/>
              <w:spacing w:before="0" w:after="0"/>
              <w:ind w:left="0" w:right="0" w:hanging="0"/>
              <w:rPr/>
            </w:pPr>
            <w:r>
              <w:rPr/>
              <w:t>​</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48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auto" w:val="clear"/>
            <w:vAlign w:val="center"/>
          </w:tcPr>
          <w:p>
            <w:pPr>
              <w:pStyle w:val="TableContents"/>
              <w:spacing w:before="0" w:after="0"/>
              <w:ind w:left="0" w:right="0" w:hanging="0"/>
              <w:rPr/>
            </w:pPr>
            <w:r>
              <w:rPr/>
              <w:t>​</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27.6</w:t>
            </w:r>
          </w:p>
        </w:tc>
        <w:tc>
          <w:tcPr>
            <w:tcW w:w="484"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spacing w:before="0" w:after="0"/>
              <w:ind w:left="0" w:right="0" w:hanging="0"/>
              <w:rPr/>
            </w:pPr>
            <w:r>
              <w:rPr/>
              <w:t>​</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484"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110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184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Expected term</w:t>
            </w:r>
          </w:p>
        </w:tc>
        <w:tc>
          <w:tcPr>
            <w:tcW w:w="326" w:type="dxa"/>
            <w:tcBorders/>
            <w:shd w:fill="auto" w:val="clear"/>
            <w:vAlign w:val="center"/>
          </w:tcPr>
          <w:p>
            <w:pPr>
              <w:pStyle w:val="TableContents"/>
              <w:spacing w:before="0" w:after="0"/>
              <w:ind w:left="0" w:right="0" w:hanging="0"/>
              <w:rPr/>
            </w:pPr>
            <w:r>
              <w:rPr/>
              <w:t>​</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 years</w:t>
            </w:r>
          </w:p>
        </w:tc>
        <w:tc>
          <w:tcPr>
            <w:tcW w:w="484" w:type="dxa"/>
            <w:tcBorders/>
            <w:shd w:fill="auto" w:val="clear"/>
            <w:vAlign w:val="center"/>
          </w:tcPr>
          <w:p>
            <w:pPr>
              <w:pStyle w:val="TableContents"/>
              <w:spacing w:before="0" w:after="0"/>
              <w:ind w:left="0" w:right="0" w:hanging="0"/>
              <w:rPr/>
            </w:pPr>
            <w:r>
              <w:rPr/>
              <w:t>​</w:t>
            </w:r>
          </w:p>
        </w:tc>
        <w:tc>
          <w:tcPr>
            <w:tcW w:w="110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 years</w:t>
            </w:r>
          </w:p>
        </w:tc>
        <w:tc>
          <w:tcPr>
            <w:tcW w:w="316" w:type="dxa"/>
            <w:tcBorders/>
            <w:shd w:fill="auto" w:val="clear"/>
            <w:vAlign w:val="center"/>
          </w:tcPr>
          <w:p>
            <w:pPr>
              <w:pStyle w:val="TableContents"/>
              <w:spacing w:before="0" w:after="0"/>
              <w:ind w:left="0" w:right="0" w:hanging="0"/>
              <w:rPr/>
            </w:pPr>
            <w:r>
              <w:rPr/>
              <w:t>​</w:t>
            </w:r>
          </w:p>
        </w:tc>
      </w:tr>
    </w:tbl>
    <w:p>
      <w:pPr>
        <w:pStyle w:val="TextBody"/>
        <w:spacing w:before="0" w:after="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Volatility</w:t>
      </w:r>
      <w:r>
        <w:rPr>
          <w:rFonts w:ascii="Times New Roman;Times;serif" w:hAnsi="Times New Roman;Times;serif"/>
          <w:sz w:val="20"/>
        </w:rPr>
        <w:t>: The Company uses historical volatility as it provides a reasonable estimate of the expected volatility. Historical volatility is based on the most recent volatility of the stock price over a period of time equivalent to the expected term of the option.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Risk-Free Interest Rate</w:t>
      </w:r>
      <w:r>
        <w:rPr>
          <w:rFonts w:ascii="Times New Roman;Times;serif" w:hAnsi="Times New Roman;Times;serif"/>
          <w:sz w:val="20"/>
        </w:rPr>
        <w:t>: The risk-free interest rate is based on the U.S. treasury zero-coupon yield curve in effect at the time of grant for the expected term of the option.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Expected Term</w:t>
      </w:r>
      <w:r>
        <w:rPr>
          <w:rFonts w:ascii="Times New Roman;Times;serif" w:hAnsi="Times New Roman;Times;serif"/>
          <w:sz w:val="20"/>
        </w:rPr>
        <w:t>: The Company’s expected term represents the weighted-average period that the Company’s stock options are 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1531" w:name="Tc_57bbAe49Q0uIhGl-_ngcUw_9_4"/>
      <w:bookmarkStart w:id="1532" w:name="Tc_28wyPeE6FEyvPwaQLlbalw_9_0"/>
      <w:bookmarkStart w:id="1533" w:name="Tc_B4AIKoQZGkiHA3GVk-XSOg_8_4"/>
      <w:bookmarkStart w:id="1534" w:name="Tc_13PD_SXlTE2a_ek5kmFf-g_8_0"/>
      <w:bookmarkStart w:id="1535" w:name="Tc_ZPbIwYKur0CtaYl6-yhsBA_7_4"/>
      <w:bookmarkStart w:id="1536" w:name="Tc_mY_SnKLpnkG89FBoNRSeaw_7_0"/>
      <w:bookmarkStart w:id="1537" w:name="Tc_wQvFtFFs8E6uZMTi-wlgvQ_6_4"/>
      <w:bookmarkStart w:id="1538" w:name="Tc_TT-7RfpL50WTpOrJY4yGdw_6_0"/>
      <w:bookmarkStart w:id="1539" w:name="Tc_Lo7MyHgkXk-j7ZjTJ0s7iw_5_4"/>
      <w:bookmarkStart w:id="1540" w:name="Tc_-eiMnAh0H0Os41nB4sexjA_5_0"/>
      <w:bookmarkStart w:id="1541" w:name="Tc_v9LpERbN-U-FubSNO_Yr0g_4_4"/>
      <w:bookmarkStart w:id="1542" w:name="Tc_FEvGr2HrbkmagIqPF1_22g_4_2"/>
      <w:bookmarkStart w:id="1543" w:name="Tc_fzjFtqP9WEmGP093ibAeig_3_4"/>
      <w:bookmarkStart w:id="1544" w:name="Tc_bb3off5uXUy4rjmUE5gC1w_3_2"/>
      <w:bookmarkStart w:id="1545" w:name="Tc_x7Bq0ujXokSfeHTLW7eXew_2_4"/>
      <w:bookmarkStart w:id="1546" w:name="Tc_m8K9s4Rbt0ifAitZLx8zWQ_2_2"/>
      <w:bookmarkStart w:id="1547" w:name="Tc_cxhYgjgnx0-8RkN7Fio9Mg_1_4"/>
      <w:bookmarkStart w:id="1548" w:name="_ca0314b6_f814_41ad_8c96_66c4002846ac"/>
      <w:bookmarkStart w:id="1549" w:name="Tc_DugGFOM8yky8sjYkR59-9A_13_9"/>
      <w:bookmarkStart w:id="1550" w:name="Tc_0WzaZj6MrUOz-Pyunu-EZA_13_4"/>
      <w:bookmarkStart w:id="1551" w:name="Tc_q4zVZkepjUqgE5ptrqkVdQ_13_0"/>
      <w:bookmarkStart w:id="1552" w:name="Tc_fkn4SH9SIkm_EZJZZTgfng_12_9"/>
      <w:bookmarkStart w:id="1553" w:name="Tc_JnRdwPwfZkOTPO0-PRHBig_12_4"/>
      <w:bookmarkStart w:id="1554" w:name="Tc_3phlL45p6UGkKlTm92vxwQ_12_0"/>
      <w:bookmarkStart w:id="1555" w:name="Tc_w8e0SD06JUWE2Get1sSBkg_11_9"/>
      <w:bookmarkStart w:id="1556" w:name="Tc_XVbawFhbWk-KUI-TNzHQQA_11_4"/>
      <w:bookmarkStart w:id="1557" w:name="Tc_UJpiIFP24kGbfqsRCkPdxA_11_0"/>
      <w:bookmarkStart w:id="1558" w:name="Tc_PYo3Puszu0mQKmfOQeuGrg_10_4"/>
      <w:bookmarkStart w:id="1559" w:name="Tc_dbdL4AgxMEK62R1FX71TyQ_10_0"/>
      <w:bookmarkStart w:id="1560" w:name="Tc_FNzwlZjxCkCvLr2seVCQLQ_9_4"/>
      <w:bookmarkStart w:id="1561" w:name="Tc_gwpLhMKf8U6KRK05x3WWVA_9_0"/>
      <w:bookmarkStart w:id="1562" w:name="Tc_Lm5Zyriu4kGra3Pw6UkgwQ_8_4"/>
      <w:bookmarkStart w:id="1563" w:name="Tc_42pn_8ipj0aLaHudeI6oEg_8_0"/>
      <w:bookmarkStart w:id="1564" w:name="Tc_BQPTz5SdIEqU7iNl-w-0Ig_7_9"/>
      <w:bookmarkStart w:id="1565" w:name="Tc_K_9MQ66_FUGwSALBHB6hpg_7_4"/>
      <w:bookmarkStart w:id="1566" w:name="Tc_X0XaQyMnMUyeliLLrdw4ZA_7_0"/>
      <w:bookmarkStart w:id="1567" w:name="Tc_AVKRCAYpkEOYgUKpHU_AMg_6_9"/>
      <w:bookmarkStart w:id="1568" w:name="Tc_-b0RjzcLhUOLqu1hnUP2Pw_6_7"/>
      <w:bookmarkStart w:id="1569" w:name="Tc_nHEryddFUUKJKIAWAM0Jtg_6_4"/>
      <w:bookmarkStart w:id="1570" w:name="Tc_aVFnG6h2gE6G_ywhbFfwbw_6_2"/>
      <w:bookmarkStart w:id="1571" w:name="Tc_J4MDFbCipk6JxYpRo_o6pA_6_0"/>
      <w:bookmarkStart w:id="1572" w:name="Tc_Xi2eqVC0WUGgf8SVX-UxNw_5_9"/>
      <w:bookmarkStart w:id="1573" w:name="Tc_CJkyE3GSM0-QRXHmAg2RPQ_5_7"/>
      <w:bookmarkStart w:id="1574" w:name="Tc_pJT6ysdJfE-sDFVxylPcIA_5_4"/>
      <w:bookmarkStart w:id="1575" w:name="Tc_HZxH7rMaqUmFiR0DnYXWSg_5_2"/>
      <w:bookmarkStart w:id="1576" w:name="Tc_9j5hCCZX30-tqpC0llmdoA_4_7"/>
      <w:bookmarkStart w:id="1577" w:name="Tc_L0quu9fcskeq-za7BG12NQ_4_4"/>
      <w:bookmarkStart w:id="1578" w:name="Tc_DWP4mWLUzkSMs0qvySMjlw_4_2"/>
      <w:bookmarkStart w:id="1579" w:name="Tc_9bYomQQV7Ua5A0tdvmlJRQ_3_7"/>
      <w:bookmarkStart w:id="1580" w:name="Tc_OldnUl5FWU2T_3hFTDvCAQ_3_4"/>
      <w:bookmarkStart w:id="1581" w:name="Tc_YUOWeuzemECvgif3mGVUrQ_2_7"/>
      <w:bookmarkStart w:id="1582" w:name="Tc_IF_zH-sToE-vBEo7LJJ5Rg_2_4"/>
      <w:bookmarkStart w:id="1583" w:name="Tc_CB4t_fW1IkGFYWXpYsiZ9w_1_7"/>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r>
        <w:rPr>
          <w:rFonts w:ascii="Times New Roman;Times;serif" w:hAnsi="Times New Roman;Times;serif"/>
          <w:sz w:val="20"/>
        </w:rPr>
        <w:t>The following table summarizes the Company’s activities with respect to its stock option plans as follows:</w:t>
      </w:r>
    </w:p>
    <w:p>
      <w:pPr>
        <w:pStyle w:val="TextBody"/>
        <w:spacing w:before="0" w:after="0"/>
        <w:ind w:left="0" w:right="0" w:firstLine="720"/>
        <w:jc w:val="both"/>
        <w:rPr/>
      </w:pPr>
      <w:r>
        <w:rPr/>
        <w:t>​</w:t>
      </w:r>
    </w:p>
    <w:tbl>
      <w:tblPr>
        <w:tblW w:w="10205" w:type="dxa"/>
        <w:jc w:val="left"/>
        <w:tblInd w:w="0" w:type="dxa"/>
        <w:tblCellMar>
          <w:top w:w="0" w:type="dxa"/>
          <w:left w:w="0" w:type="dxa"/>
          <w:bottom w:w="0" w:type="dxa"/>
          <w:right w:w="0" w:type="dxa"/>
        </w:tblCellMar>
      </w:tblPr>
      <w:tblGrid>
        <w:gridCol w:w="4573"/>
        <w:gridCol w:w="326"/>
        <w:gridCol w:w="984"/>
        <w:gridCol w:w="326"/>
        <w:gridCol w:w="257"/>
        <w:gridCol w:w="696"/>
        <w:gridCol w:w="326"/>
        <w:gridCol w:w="1066"/>
        <w:gridCol w:w="326"/>
        <w:gridCol w:w="253"/>
        <w:gridCol w:w="1072"/>
      </w:tblGrid>
      <w:tr>
        <w:trPr/>
        <w:tc>
          <w:tcPr>
            <w:tcW w:w="45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903855" cy="175260"/>
                      <wp:effectExtent l="0" t="0" r="0" b="0"/>
                      <wp:wrapNone/>
                      <wp:docPr id="353" name="Frame353"/>
                      <a:graphic xmlns:a="http://schemas.openxmlformats.org/drawingml/2006/main">
                        <a:graphicData uri="http://schemas.microsoft.com/office/word/2010/wordprocessingShape">
                          <wps:wsp>
                            <wps:cNvSpPr txBox="1"/>
                            <wps:spPr>
                              <a:xfrm>
                                <a:off x="0" y="0"/>
                                <a:ext cx="2903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07010" cy="175260"/>
                      <wp:effectExtent l="0" t="0" r="0" b="0"/>
                      <wp:wrapNone/>
                      <wp:docPr id="354" name="Frame3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8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24840" cy="175260"/>
                      <wp:effectExtent l="0" t="0" r="0" b="0"/>
                      <wp:wrapNone/>
                      <wp:docPr id="355" name="Frame355"/>
                      <a:graphic xmlns:a="http://schemas.openxmlformats.org/drawingml/2006/main">
                        <a:graphicData uri="http://schemas.microsoft.com/office/word/2010/wordprocessingShape">
                          <wps:wsp>
                            <wps:cNvSpPr txBox="1"/>
                            <wps:spPr>
                              <a:xfrm>
                                <a:off x="0" y="0"/>
                                <a:ext cx="62484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07010" cy="175260"/>
                      <wp:effectExtent l="0" t="0" r="0" b="0"/>
                      <wp:wrapNone/>
                      <wp:docPr id="356" name="Frame35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3195" cy="175260"/>
                      <wp:effectExtent l="0" t="0" r="0" b="0"/>
                      <wp:wrapNone/>
                      <wp:docPr id="357" name="Frame357"/>
                      <a:graphic xmlns:a="http://schemas.openxmlformats.org/drawingml/2006/main">
                        <a:graphicData uri="http://schemas.microsoft.com/office/word/2010/wordprocessingShape">
                          <wps:wsp>
                            <wps:cNvSpPr txBox="1"/>
                            <wps:spPr>
                              <a:xfrm>
                                <a:off x="0" y="0"/>
                                <a:ext cx="163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441960" cy="175260"/>
                      <wp:effectExtent l="0" t="0" r="0" b="0"/>
                      <wp:wrapNone/>
                      <wp:docPr id="358" name="Frame358"/>
                      <a:graphic xmlns:a="http://schemas.openxmlformats.org/drawingml/2006/main">
                        <a:graphicData uri="http://schemas.microsoft.com/office/word/2010/wordprocessingShape">
                          <wps:wsp>
                            <wps:cNvSpPr txBox="1"/>
                            <wps:spPr>
                              <a:xfrm>
                                <a:off x="0" y="0"/>
                                <a:ext cx="4419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76910" cy="175260"/>
                      <wp:effectExtent l="0" t="0" r="0" b="0"/>
                      <wp:wrapNone/>
                      <wp:docPr id="360" name="Frame360"/>
                      <a:graphic xmlns:a="http://schemas.openxmlformats.org/drawingml/2006/main">
                        <a:graphicData uri="http://schemas.microsoft.com/office/word/2010/wordprocessingShape">
                          <wps:wsp>
                            <wps:cNvSpPr txBox="1"/>
                            <wps:spPr>
                              <a:xfrm>
                                <a:off x="0" y="0"/>
                                <a:ext cx="6769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61" name="Frame3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5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60655" cy="175260"/>
                      <wp:effectExtent l="0" t="0" r="0" b="0"/>
                      <wp:wrapNone/>
                      <wp:docPr id="362" name="Frame362"/>
                      <a:graphic xmlns:a="http://schemas.openxmlformats.org/drawingml/2006/main">
                        <a:graphicData uri="http://schemas.microsoft.com/office/word/2010/wordprocessingShape">
                          <wps:wsp>
                            <wps:cNvSpPr txBox="1"/>
                            <wps:spPr>
                              <a:xfrm>
                                <a:off x="0" y="0"/>
                                <a:ext cx="1606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7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80720" cy="175260"/>
                      <wp:effectExtent l="0" t="0" r="0" b="0"/>
                      <wp:wrapNone/>
                      <wp:docPr id="363" name="Frame363"/>
                      <a:graphic xmlns:a="http://schemas.openxmlformats.org/drawingml/2006/main">
                        <a:graphicData uri="http://schemas.microsoft.com/office/word/2010/wordprocessingShape">
                          <wps:wsp>
                            <wps:cNvSpPr txBox="1"/>
                            <wps:spPr>
                              <a:xfrm>
                                <a:off x="0" y="0"/>
                                <a:ext cx="6807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5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pPr>
            <w:r>
              <w:rPr/>
              <w:t>​</w:t>
            </w:r>
          </w:p>
        </w:tc>
        <w:tc>
          <w:tcPr>
            <w:tcW w:w="6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5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53"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5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953"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Remaining</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5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shd w:fill="auto" w:val="clear"/>
            <w:vAlign w:val="center"/>
          </w:tcPr>
          <w:p>
            <w:pPr>
              <w:pStyle w:val="TableContents"/>
              <w:spacing w:before="0" w:after="0"/>
              <w:ind w:left="0" w:right="0" w:hanging="0"/>
              <w:rPr/>
            </w:pPr>
            <w:r>
              <w:rPr/>
              <w:t>​</w:t>
            </w:r>
          </w:p>
        </w:tc>
        <w:tc>
          <w:tcPr>
            <w:tcW w:w="953"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Exercise</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Contractual</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jc w:val="center"/>
              <w:rPr/>
            </w:pPr>
            <w:r>
              <w:rPr/>
              <w:t>​</w:t>
            </w:r>
          </w:p>
        </w:tc>
        <w:tc>
          <w:tcPr>
            <w:tcW w:w="1072" w:type="dxa"/>
            <w:tcBorders/>
            <w:shd w:fill="auto" w:val="clear"/>
            <w:vAlign w:val="center"/>
          </w:tcPr>
          <w:p>
            <w:pPr>
              <w:pStyle w:val="TableContents"/>
              <w:spacing w:before="0" w:after="0"/>
              <w:ind w:left="0" w:right="0" w:hanging="0"/>
              <w:jc w:val="center"/>
              <w:rPr/>
            </w:pPr>
            <w:r>
              <w:rPr/>
              <w:t>​</w:t>
            </w:r>
          </w:p>
        </w:tc>
      </w:tr>
      <w:tr>
        <w:trPr/>
        <w:tc>
          <w:tcPr>
            <w:tcW w:w="4573"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shd w:fill="auto" w:val="clear"/>
            <w:vAlign w:val="center"/>
          </w:tcPr>
          <w:p>
            <w:pPr>
              <w:pStyle w:val="TableContents"/>
              <w:spacing w:before="0" w:after="0"/>
              <w:ind w:left="0" w:right="0" w:hanging="0"/>
              <w:rPr/>
            </w:pPr>
            <w:r>
              <w:rPr/>
              <w:t>​</w:t>
            </w:r>
          </w:p>
        </w:tc>
        <w:tc>
          <w:tcPr>
            <w:tcW w:w="953"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Price Per</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Term (in</w:t>
            </w:r>
          </w:p>
        </w:tc>
        <w:tc>
          <w:tcPr>
            <w:tcW w:w="326" w:type="dxa"/>
            <w:tcBorders/>
            <w:shd w:fill="auto" w:val="clear"/>
            <w:vAlign w:val="center"/>
          </w:tcPr>
          <w:p>
            <w:pPr>
              <w:pStyle w:val="TableContents"/>
              <w:spacing w:before="0" w:after="0"/>
              <w:ind w:left="0" w:right="0" w:hanging="0"/>
              <w:rPr/>
            </w:pPr>
            <w:r>
              <w:rPr/>
              <w:t>​</w:t>
            </w:r>
          </w:p>
        </w:tc>
        <w:tc>
          <w:tcPr>
            <w:tcW w:w="132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Aggregate</w:t>
            </w:r>
          </w:p>
        </w:tc>
      </w:tr>
      <w:tr>
        <w:trPr/>
        <w:tc>
          <w:tcPr>
            <w:tcW w:w="4573"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Options</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shd w:fill="auto" w:val="clear"/>
            <w:vAlign w:val="center"/>
          </w:tcPr>
          <w:p>
            <w:pPr>
              <w:pStyle w:val="TableContents"/>
              <w:spacing w:before="0" w:after="0"/>
              <w:ind w:left="0" w:right="0" w:hanging="0"/>
              <w:rPr/>
            </w:pPr>
            <w:r>
              <w:rPr/>
              <w:t>    </w:t>
            </w:r>
          </w:p>
        </w:tc>
        <w:tc>
          <w:tcPr>
            <w:tcW w:w="953"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w:t>
            </w:r>
          </w:p>
        </w:tc>
        <w:tc>
          <w:tcPr>
            <w:tcW w:w="326" w:type="dxa"/>
            <w:tcBorders/>
            <w:shd w:fill="auto" w:val="clear"/>
            <w:vAlign w:val="center"/>
          </w:tcPr>
          <w:p>
            <w:pPr>
              <w:pStyle w:val="TableContents"/>
              <w:spacing w:before="0" w:after="0"/>
              <w:ind w:left="0" w:right="0" w:hanging="0"/>
              <w:rPr/>
            </w:pPr>
            <w:r>
              <w:rPr/>
              <w:t>    </w:t>
            </w:r>
          </w:p>
        </w:tc>
        <w:tc>
          <w:tcPr>
            <w:tcW w:w="106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132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Intrinsic Value</w:t>
            </w:r>
          </w:p>
        </w:tc>
      </w:tr>
      <w:tr>
        <w:trPr/>
        <w:tc>
          <w:tcPr>
            <w:tcW w:w="457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29,710</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26.38</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724,651</w:t>
            </w:r>
          </w:p>
        </w:tc>
      </w:tr>
      <w:tr>
        <w:trPr/>
        <w:tc>
          <w:tcPr>
            <w:tcW w:w="457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Granted 01/01/23 - 03/31/23</w:t>
            </w:r>
          </w:p>
        </w:tc>
        <w:tc>
          <w:tcPr>
            <w:tcW w:w="326" w:type="dxa"/>
            <w:tcBorders/>
            <w:shd w:fill="auto" w:val="clear"/>
            <w:vAlign w:val="center"/>
          </w:tcPr>
          <w:p>
            <w:pPr>
              <w:pStyle w:val="TableContents"/>
              <w:spacing w:before="0" w:after="0"/>
              <w:ind w:left="0" w:right="0" w:hanging="0"/>
              <w:rPr/>
            </w:pPr>
            <w:r>
              <w:rPr/>
              <w:t> </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3,962</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50.82</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rPr/>
            </w:pPr>
            <w:r>
              <w:rPr/>
              <w:t>​</w:t>
            </w:r>
          </w:p>
        </w:tc>
      </w:tr>
      <w:tr>
        <w:trPr/>
        <w:tc>
          <w:tcPr>
            <w:tcW w:w="457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(3,129)</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CCEEFF" w:val="clear"/>
            <w:vAlign w:val="center"/>
          </w:tcPr>
          <w:p>
            <w:pPr>
              <w:pStyle w:val="TableContents"/>
              <w:spacing w:before="0" w:after="0"/>
              <w:ind w:left="0" w:right="0" w:hanging="0"/>
              <w:rPr/>
            </w:pPr>
            <w:r>
              <w:rPr/>
              <w:t>​</w:t>
            </w:r>
          </w:p>
        </w:tc>
        <w:tc>
          <w:tcPr>
            <w:tcW w:w="10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pPr>
            <w:r>
              <w:rPr/>
              <w:t>​</w:t>
            </w:r>
          </w:p>
        </w:tc>
        <w:tc>
          <w:tcPr>
            <w:tcW w:w="1072" w:type="dxa"/>
            <w:tcBorders/>
            <w:shd w:fill="CCEEFF" w:val="clear"/>
            <w:vAlign w:val="center"/>
          </w:tcPr>
          <w:p>
            <w:pPr>
              <w:pStyle w:val="TableContents"/>
              <w:spacing w:before="0" w:after="0"/>
              <w:ind w:left="0" w:right="0" w:hanging="0"/>
              <w:rPr/>
            </w:pPr>
            <w:r>
              <w:rPr/>
              <w:t>​</w:t>
            </w:r>
          </w:p>
        </w:tc>
      </w:tr>
      <w:tr>
        <w:trPr/>
        <w:tc>
          <w:tcPr>
            <w:tcW w:w="457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Cancelled or forfeited</w:t>
            </w:r>
          </w:p>
        </w:tc>
        <w:tc>
          <w:tcPr>
            <w:tcW w:w="326" w:type="dxa"/>
            <w:tcBorders/>
            <w:shd w:fill="auto" w:val="clear"/>
            <w:vAlign w:val="center"/>
          </w:tcPr>
          <w:p>
            <w:pPr>
              <w:pStyle w:val="TableContents"/>
              <w:spacing w:before="0" w:after="0"/>
              <w:ind w:left="0" w:right="0" w:hanging="0"/>
              <w:rPr/>
            </w:pPr>
            <w:r>
              <w:rPr/>
              <w:t> </w:t>
            </w:r>
          </w:p>
        </w:tc>
        <w:tc>
          <w:tcPr>
            <w:tcW w:w="984"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37.39</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pPr>
            <w:r>
              <w:rPr/>
              <w:t>​</w:t>
            </w:r>
          </w:p>
        </w:tc>
        <w:tc>
          <w:tcPr>
            <w:tcW w:w="1072" w:type="dxa"/>
            <w:tcBorders/>
            <w:shd w:fill="auto" w:val="clear"/>
            <w:vAlign w:val="center"/>
          </w:tcPr>
          <w:p>
            <w:pPr>
              <w:pStyle w:val="TableContents"/>
              <w:spacing w:before="0" w:after="0"/>
              <w:ind w:left="0" w:right="0" w:hanging="0"/>
              <w:rPr/>
            </w:pPr>
            <w:r>
              <w:rPr/>
              <w:t>​</w:t>
            </w:r>
          </w:p>
        </w:tc>
      </w:tr>
      <w:tr>
        <w:trPr/>
        <w:tc>
          <w:tcPr>
            <w:tcW w:w="457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Outstanding at March 31, 2023</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30,470</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31.04</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699,802</w:t>
            </w:r>
          </w:p>
        </w:tc>
      </w:tr>
      <w:tr>
        <w:trPr/>
        <w:tc>
          <w:tcPr>
            <w:tcW w:w="457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Vested and expected to vest in the future at March 31, 2023</w:t>
            </w:r>
          </w:p>
        </w:tc>
        <w:tc>
          <w:tcPr>
            <w:tcW w:w="326" w:type="dxa"/>
            <w:tcBorders/>
            <w:shd w:fill="auto" w:val="clear"/>
            <w:vAlign w:val="center"/>
          </w:tcPr>
          <w:p>
            <w:pPr>
              <w:pStyle w:val="TableContents"/>
              <w:spacing w:before="0" w:after="0"/>
              <w:ind w:left="0" w:right="0" w:hanging="0"/>
              <w:rPr/>
            </w:pPr>
            <w:r>
              <w:rPr/>
              <w:t>​</w:t>
            </w:r>
          </w:p>
        </w:tc>
        <w:tc>
          <w:tcPr>
            <w:tcW w:w="98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29,381</w:t>
            </w:r>
          </w:p>
        </w:tc>
        <w:tc>
          <w:tcPr>
            <w:tcW w:w="326" w:type="dxa"/>
            <w:tcBorders/>
            <w:shd w:fill="auto" w:val="clear"/>
            <w:vAlign w:val="center"/>
          </w:tcPr>
          <w:p>
            <w:pPr>
              <w:pStyle w:val="TableContents"/>
              <w:spacing w:before="0" w:after="0"/>
              <w:ind w:left="0" w:right="0" w:hanging="0"/>
              <w:rPr/>
            </w:pPr>
            <w:r>
              <w:rPr/>
              <w:t>​</w:t>
            </w:r>
          </w:p>
        </w:tc>
        <w:tc>
          <w:tcPr>
            <w:tcW w:w="25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30.58</w:t>
            </w:r>
          </w:p>
        </w:tc>
        <w:tc>
          <w:tcPr>
            <w:tcW w:w="326" w:type="dxa"/>
            <w:tcBorders/>
            <w:shd w:fill="auto" w:val="clear"/>
            <w:vAlign w:val="center"/>
          </w:tcPr>
          <w:p>
            <w:pPr>
              <w:pStyle w:val="TableContents"/>
              <w:spacing w:before="0" w:after="0"/>
              <w:ind w:left="0" w:right="0" w:hanging="0"/>
              <w:rPr/>
            </w:pPr>
            <w:r>
              <w:rPr/>
              <w:t>​</w:t>
            </w:r>
          </w:p>
        </w:tc>
        <w:tc>
          <w:tcPr>
            <w:tcW w:w="106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shd w:fill="auto" w:val="clear"/>
            <w:vAlign w:val="center"/>
          </w:tcPr>
          <w:p>
            <w:pPr>
              <w:pStyle w:val="TableContents"/>
              <w:spacing w:before="0" w:after="0"/>
              <w:ind w:left="0" w:right="0" w:hanging="0"/>
              <w:rPr/>
            </w:pPr>
            <w:r>
              <w:rPr/>
              <w:t>​</w:t>
            </w:r>
          </w:p>
        </w:tc>
        <w:tc>
          <w:tcPr>
            <w:tcW w:w="25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2"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688,532</w:t>
            </w:r>
          </w:p>
        </w:tc>
      </w:tr>
      <w:tr>
        <w:trPr/>
        <w:tc>
          <w:tcPr>
            <w:tcW w:w="4573"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Exercisable at March 31, 2023</w:t>
            </w:r>
          </w:p>
        </w:tc>
        <w:tc>
          <w:tcPr>
            <w:tcW w:w="326" w:type="dxa"/>
            <w:tcBorders/>
            <w:shd w:fill="CCEEFF" w:val="clear"/>
            <w:vAlign w:val="center"/>
          </w:tcPr>
          <w:p>
            <w:pPr>
              <w:pStyle w:val="TableContents"/>
              <w:spacing w:before="0" w:after="0"/>
              <w:ind w:left="0" w:right="0" w:hanging="0"/>
              <w:rPr/>
            </w:pPr>
            <w:r>
              <w:rPr/>
              <w:t> </w:t>
            </w:r>
          </w:p>
        </w:tc>
        <w:tc>
          <w:tcPr>
            <w:tcW w:w="98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19,309</w:t>
            </w:r>
          </w:p>
        </w:tc>
        <w:tc>
          <w:tcPr>
            <w:tcW w:w="326" w:type="dxa"/>
            <w:tcBorders/>
            <w:shd w:fill="CCEEFF" w:val="clear"/>
            <w:vAlign w:val="center"/>
          </w:tcPr>
          <w:p>
            <w:pPr>
              <w:pStyle w:val="TableContents"/>
              <w:spacing w:before="0" w:after="0"/>
              <w:ind w:left="0" w:right="0" w:hanging="0"/>
              <w:rPr/>
            </w:pPr>
            <w:r>
              <w:rPr/>
              <w:t>​</w:t>
            </w:r>
          </w:p>
        </w:tc>
        <w:tc>
          <w:tcPr>
            <w:tcW w:w="25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26" w:type="dxa"/>
            <w:tcBorders/>
            <w:shd w:fill="CCEEFF" w:val="clear"/>
            <w:vAlign w:val="center"/>
          </w:tcPr>
          <w:p>
            <w:pPr>
              <w:pStyle w:val="TableContents"/>
              <w:spacing w:before="0" w:after="0"/>
              <w:ind w:left="0" w:right="0" w:hanging="0"/>
              <w:rPr/>
            </w:pPr>
            <w:r>
              <w:rPr/>
              <w:t> </w:t>
            </w:r>
          </w:p>
        </w:tc>
        <w:tc>
          <w:tcPr>
            <w:tcW w:w="106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spacing w:before="0" w:after="0"/>
              <w:ind w:left="0" w:right="0" w:hanging="0"/>
              <w:rPr/>
            </w:pPr>
            <w:r>
              <w:rPr/>
              <w:t>​</w:t>
            </w:r>
          </w:p>
        </w:tc>
        <w:tc>
          <w:tcPr>
            <w:tcW w:w="25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72"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564,190</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weighted-average grant-date fair value of options granted during the three-months ended March 31, 2023 and 2022 was $18.23 per share and $11.61 per share,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total intrinsic value of options exercised during the three-months ended March 31, 2023 and 2022 was $131.0 million and $4.9 million,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Cash received from option exercises under all plans for the three-months ended March 31, 2023 and 2022 was $36.3 million and $4.5 million,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2023, there was $125.2 million of total unrecognized compensation expense related to non-vested options granted to employees under the Company’s stock-based compensation plans. That cost is expected to be recognized over a weighted-average period of 3.6 years.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Restricted Stock Units and Performance Share Units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the Company’s activities with respect to non-vested restricted stock units and performance share units as follows:</w:t>
      </w:r>
    </w:p>
    <w:p>
      <w:pPr>
        <w:pStyle w:val="TextBody"/>
        <w:spacing w:before="0" w:after="0"/>
        <w:ind w:left="0" w:right="0" w:firstLine="720"/>
        <w:jc w:val="both"/>
        <w:rPr/>
      </w:pPr>
      <w:r>
        <w:rPr/>
        <w:t>​</w:t>
      </w:r>
    </w:p>
    <w:tbl>
      <w:tblPr>
        <w:tblW w:w="5260" w:type="dxa"/>
        <w:jc w:val="left"/>
        <w:tblInd w:w="0" w:type="dxa"/>
        <w:tblCellMar>
          <w:top w:w="0" w:type="dxa"/>
          <w:left w:w="0" w:type="dxa"/>
          <w:bottom w:w="0" w:type="dxa"/>
          <w:right w:w="0" w:type="dxa"/>
        </w:tblCellMar>
      </w:tblPr>
      <w:tblGrid>
        <w:gridCol w:w="2581"/>
        <w:gridCol w:w="326"/>
        <w:gridCol w:w="991"/>
        <w:gridCol w:w="326"/>
        <w:gridCol w:w="246"/>
        <w:gridCol w:w="790"/>
      </w:tblGrid>
      <w:tr>
        <w:trPr/>
        <w:tc>
          <w:tcPr>
            <w:tcW w:w="2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638935" cy="175260"/>
                      <wp:effectExtent l="0" t="0" r="0" b="0"/>
                      <wp:wrapNone/>
                      <wp:docPr id="364" name="Frame364"/>
                      <a:graphic xmlns:a="http://schemas.openxmlformats.org/drawingml/2006/main">
                        <a:graphicData uri="http://schemas.microsoft.com/office/word/2010/wordprocessingShape">
                          <wps:wsp>
                            <wps:cNvSpPr txBox="1"/>
                            <wps:spPr>
                              <a:xfrm>
                                <a:off x="0" y="0"/>
                                <a:ext cx="1638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07010" cy="175260"/>
                      <wp:effectExtent l="0" t="0" r="0" b="0"/>
                      <wp:wrapNone/>
                      <wp:docPr id="365" name="Frame36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29285" cy="175260"/>
                      <wp:effectExtent l="0" t="0" r="0" b="0"/>
                      <wp:wrapNone/>
                      <wp:docPr id="366" name="Frame366"/>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07010" cy="175260"/>
                      <wp:effectExtent l="0" t="0" r="0" b="0"/>
                      <wp:wrapNone/>
                      <wp:docPr id="367" name="Frame36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156210" cy="175260"/>
                      <wp:effectExtent l="0" t="0" r="0" b="0"/>
                      <wp:wrapNone/>
                      <wp:docPr id="368" name="Frame368"/>
                      <a:graphic xmlns:a="http://schemas.openxmlformats.org/drawingml/2006/main">
                        <a:graphicData uri="http://schemas.microsoft.com/office/word/2010/wordprocessingShape">
                          <wps:wsp>
                            <wps:cNvSpPr txBox="1"/>
                            <wps:spPr>
                              <a:xfrm>
                                <a:off x="0" y="0"/>
                                <a:ext cx="1562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501650" cy="175260"/>
                      <wp:effectExtent l="0" t="0" r="0" b="0"/>
                      <wp:wrapNone/>
                      <wp:docPr id="369" name="Frame369"/>
                      <a:graphic xmlns:a="http://schemas.openxmlformats.org/drawingml/2006/main">
                        <a:graphicData uri="http://schemas.microsoft.com/office/word/2010/wordprocessingShape">
                          <wps:wsp>
                            <wps:cNvSpPr txBox="1"/>
                            <wps:spPr>
                              <a:xfrm>
                                <a:off x="0" y="0"/>
                                <a:ext cx="5016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Weighted</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Number of</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Average</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Shares (in</w:t>
            </w:r>
          </w:p>
        </w:tc>
        <w:tc>
          <w:tcPr>
            <w:tcW w:w="326" w:type="dxa"/>
            <w:tcBorders/>
            <w:shd w:fill="auto" w:val="clear"/>
            <w:vAlign w:val="center"/>
          </w:tcPr>
          <w:p>
            <w:pPr>
              <w:pStyle w:val="TableContents"/>
              <w:spacing w:before="0" w:after="0"/>
              <w:ind w:left="0" w:right="0" w:hanging="0"/>
              <w:rPr/>
            </w:pPr>
            <w:r>
              <w:rPr/>
              <w:t>​</w:t>
            </w:r>
          </w:p>
        </w:tc>
        <w:tc>
          <w:tcPr>
            <w:tcW w:w="1036"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Grant-Date</w:t>
            </w:r>
          </w:p>
        </w:tc>
      </w:tr>
      <w:tr>
        <w:trPr/>
        <w:tc>
          <w:tcPr>
            <w:tcW w:w="2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thousands)</w:t>
            </w:r>
          </w:p>
        </w:tc>
        <w:tc>
          <w:tcPr>
            <w:tcW w:w="326" w:type="dxa"/>
            <w:tcBorders/>
            <w:shd w:fill="auto" w:val="clear"/>
            <w:vAlign w:val="center"/>
          </w:tcPr>
          <w:p>
            <w:pPr>
              <w:pStyle w:val="TableContents"/>
              <w:spacing w:before="0" w:after="0"/>
              <w:ind w:left="0" w:right="0" w:hanging="0"/>
              <w:rPr/>
            </w:pPr>
            <w:r>
              <w:rPr/>
              <w:t>    </w:t>
            </w:r>
          </w:p>
        </w:tc>
        <w:tc>
          <w:tcPr>
            <w:tcW w:w="103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Fair Value</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January 1, 2023</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36.27</w:t>
            </w:r>
          </w:p>
        </w:tc>
      </w:tr>
      <w:tr>
        <w:trPr/>
        <w:tc>
          <w:tcPr>
            <w:tcW w:w="2581" w:type="dxa"/>
            <w:tcBorders/>
            <w:shd w:fill="auto" w:val="clear"/>
            <w:vAlign w:val="center"/>
          </w:tcPr>
          <w:p>
            <w:pPr>
              <w:pStyle w:val="TableContents"/>
              <w:spacing w:lineRule="auto" w:line="240" w:before="0" w:after="0"/>
              <w:ind w:left="0" w:right="0" w:hanging="0"/>
              <w:rPr>
                <w:rFonts w:ascii="Times New Roman;Times;serif" w:hAnsi="Times New Roman;Times;serif"/>
                <w:sz w:val="20"/>
              </w:rPr>
            </w:pPr>
            <w:r>
              <w:rPr>
                <w:rFonts w:ascii="Times New Roman;Times;serif" w:hAnsi="Times New Roman;Times;serif"/>
                <w:sz w:val="20"/>
              </w:rPr>
              <w:t>Granted 01/01/23 - 03/31/23</w:t>
            </w:r>
            <w:r>
              <w:rPr>
                <w:rFonts w:ascii="Times New Roman;Times;serif" w:hAnsi="Times New Roman;Times;serif"/>
                <w:sz w:val="17"/>
              </w:rPr>
              <w:t>1</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523</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48.49</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(576)</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32.87</w:t>
            </w:r>
          </w:p>
        </w:tc>
      </w:tr>
      <w:tr>
        <w:trPr/>
        <w:tc>
          <w:tcPr>
            <w:tcW w:w="2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Forfeited/cancelled</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auto" w:val="clear"/>
            <w:vAlign w:val="center"/>
          </w:tcPr>
          <w:p>
            <w:pPr>
              <w:pStyle w:val="TableContents"/>
              <w:spacing w:before="0" w:after="0"/>
              <w:ind w:left="0" w:right="0" w:hanging="0"/>
              <w:rPr/>
            </w:pPr>
            <w:r>
              <w:rPr/>
              <w:t>​</w:t>
            </w:r>
          </w:p>
        </w:tc>
        <w:tc>
          <w:tcPr>
            <w:tcW w:w="24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32.80</w:t>
            </w:r>
          </w:p>
        </w:tc>
      </w:tr>
      <w:tr>
        <w:trPr/>
        <w:tc>
          <w:tcPr>
            <w:tcW w:w="2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Non-vested at March 31, 2023</w:t>
            </w:r>
          </w:p>
        </w:tc>
        <w:tc>
          <w:tcPr>
            <w:tcW w:w="326" w:type="dxa"/>
            <w:tcBorders/>
            <w:shd w:fill="CCEEFF" w:val="clear"/>
            <w:vAlign w:val="center"/>
          </w:tcPr>
          <w:p>
            <w:pPr>
              <w:pStyle w:val="TableContents"/>
              <w:spacing w:before="0" w:after="0"/>
              <w:ind w:left="0" w:right="0" w:hanging="0"/>
              <w:rPr/>
            </w:pPr>
            <w:r>
              <w:rPr/>
              <w:t>​</w:t>
            </w:r>
          </w:p>
        </w:tc>
        <w:tc>
          <w:tcPr>
            <w:tcW w:w="99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26" w:type="dxa"/>
            <w:tcBorders/>
            <w:shd w:fill="CCEEFF" w:val="clear"/>
            <w:vAlign w:val="center"/>
          </w:tcPr>
          <w:p>
            <w:pPr>
              <w:pStyle w:val="TableContents"/>
              <w:spacing w:before="0" w:after="0"/>
              <w:ind w:left="0" w:right="0" w:hanging="0"/>
              <w:rPr/>
            </w:pPr>
            <w:r>
              <w:rPr/>
              <w:t>​</w:t>
            </w:r>
          </w:p>
        </w:tc>
        <w:tc>
          <w:tcPr>
            <w:tcW w:w="24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40.52</w:t>
            </w:r>
          </w:p>
        </w:tc>
      </w:tr>
    </w:tbl>
    <w:p>
      <w:pPr>
        <w:pStyle w:val="TextBody"/>
        <w:spacing w:before="0" w:after="0"/>
        <w:ind w:left="0" w:right="0" w:firstLine="720"/>
        <w:rPr/>
      </w:pPr>
      <w:r>
        <w:rPr/>
        <w:t>​</w:t>
      </w:r>
    </w:p>
    <w:p>
      <w:pPr>
        <w:pStyle w:val="TextBody"/>
        <w:spacing w:lineRule="auto" w:line="240" w:before="0" w:after="240"/>
        <w:ind w:left="0" w:right="0" w:firstLine="72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The grant activity for performance share units is recorded based on the target performance level earning 100%</w:t>
      </w:r>
      <w:r>
        <w:rPr>
          <w:rFonts w:ascii="Times New Roman;Times;serif" w:hAnsi="Times New Roman;Times;serif"/>
          <w:sz w:val="16"/>
        </w:rPr>
        <w:t xml:space="preserve"> </w:t>
      </w:r>
      <w:r>
        <w:rPr>
          <w:rFonts w:ascii="Times New Roman;Times;serif" w:hAnsi="Times New Roman;Times;serif"/>
          <w:i/>
          <w:sz w:val="16"/>
        </w:rPr>
        <w:t>of target performance share units. The actual number of performance share units earned could range from 0%</w:t>
      </w:r>
      <w:r>
        <w:rPr>
          <w:rFonts w:ascii="Times New Roman;Times;serif" w:hAnsi="Times New Roman;Times;serif"/>
          <w:sz w:val="16"/>
        </w:rPr>
        <w:t xml:space="preserve"> </w:t>
      </w:r>
      <w:r>
        <w:rPr>
          <w:rFonts w:ascii="Times New Roman;Times;serif" w:hAnsi="Times New Roman;Times;serif"/>
          <w:i/>
          <w:sz w:val="16"/>
        </w:rPr>
        <w:t>to 200%</w:t>
      </w:r>
      <w:r>
        <w:rPr>
          <w:rFonts w:ascii="Times New Roman;Times;serif" w:hAnsi="Times New Roman;Times;serif"/>
          <w:sz w:val="16"/>
        </w:rPr>
        <w:t xml:space="preserve"> </w:t>
      </w:r>
      <w:r>
        <w:rPr>
          <w:rFonts w:ascii="Times New Roman;Times;serif" w:hAnsi="Times New Roman;Times;serif"/>
          <w:i/>
          <w:sz w:val="16"/>
        </w:rPr>
        <w:t>of target depending on the achievement of pre-established performance goals.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weighted-average grant-date fair value of restricted stock units and/or performance share units granted during the three-months ended March 31, 2023 and 2022 was $50.83 and $36.73 per share, respectively.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2023, 1.8 million of restricted stock units and performance share units are expected to vest over their respective terms.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2023, total unrecognized compensation expense relating to non-vested restricted stock units and performance share units was $53.6 million, which is expected to be recognized over a weighted-average period of 1.9 years.</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Other Share-Based Awards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March 31, 2023, other share-based awards outstanding included grants that vest over three years payable in the first quarters of 2024, 2025 and 2026.</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At March 31, 2023, there was $0.3 million of total unrecognized compensation expense related to nonvested other share-based awards granted to employees under the Company’s stock-based compensation plans. That cost is expected to be recognized over a weighted-average period of 1.4 years.</w:t>
      </w:r>
    </w:p>
    <w:p>
      <w:pPr>
        <w:pStyle w:val="Normal"/>
        <w:spacing w:before="0" w:after="0"/>
        <w:rPr>
          <w:sz w:val="4"/>
          <w:szCs w:val="4"/>
        </w:rPr>
      </w:pPr>
      <w:r>
        <w:rPr>
          <w:sz w:val="4"/>
          <w:szCs w:val="4"/>
        </w:rPr>
      </w:r>
      <w:bookmarkStart w:id="1584" w:name="Tc_vbNSg2FWi0ueocq2d1SmgA_7_2"/>
      <w:bookmarkStart w:id="1585" w:name="Tc_EIf4eT5Z3kOfppKy3FXxIA_7_0"/>
      <w:bookmarkStart w:id="1586" w:name="Tc_liS-8FFENU6y2eDfj5bTOg_6_0"/>
      <w:bookmarkStart w:id="1587" w:name="Tc_KBbQvDtyrkq-3QzF5NzlRw_5_0"/>
      <w:bookmarkStart w:id="1588" w:name="Tc_TN31FQaOa0qTQuI6uvC5GA_4_0"/>
      <w:bookmarkStart w:id="1589" w:name="Tc_Qap-pWbGX0CQrq8KOavH4Q_3_2"/>
      <w:bookmarkStart w:id="1590" w:name="Tc_iKDPQruQ2kmXUV3MV7_rZA_3_0"/>
      <w:bookmarkStart w:id="1591" w:name="Tc_LLUX3qysgk6z-zJgc0d0Tw_2_2"/>
      <w:bookmarkStart w:id="1592" w:name="Tc_5Bjz8TblhUakJqWWUZ6gzw_1_2"/>
      <w:bookmarkStart w:id="1593" w:name="Tc_vbNSg2FWi0ueocq2d1SmgA_7_2"/>
      <w:bookmarkStart w:id="1594" w:name="Tc_EIf4eT5Z3kOfppKy3FXxIA_7_0"/>
      <w:bookmarkStart w:id="1595" w:name="Tc_liS-8FFENU6y2eDfj5bTOg_6_0"/>
      <w:bookmarkStart w:id="1596" w:name="Tc_KBbQvDtyrkq-3QzF5NzlRw_5_0"/>
      <w:bookmarkStart w:id="1597" w:name="Tc_TN31FQaOa0qTQuI6uvC5GA_4_0"/>
      <w:bookmarkStart w:id="1598" w:name="Tc_Qap-pWbGX0CQrq8KOavH4Q_3_2"/>
      <w:bookmarkStart w:id="1599" w:name="Tc_iKDPQruQ2kmXUV3MV7_rZA_3_0"/>
      <w:bookmarkStart w:id="1600" w:name="Tc_LLUX3qysgk6z-zJgc0d0Tw_2_2"/>
      <w:bookmarkStart w:id="1601" w:name="Tc_5Bjz8TblhUakJqWWUZ6gzw_1_2"/>
      <w:bookmarkEnd w:id="1593"/>
      <w:bookmarkEnd w:id="1594"/>
      <w:bookmarkEnd w:id="1595"/>
      <w:bookmarkEnd w:id="1596"/>
      <w:bookmarkEnd w:id="1597"/>
      <w:bookmarkEnd w:id="1598"/>
      <w:bookmarkEnd w:id="1599"/>
      <w:bookmarkEnd w:id="1600"/>
      <w:bookmarkEnd w:id="1601"/>
    </w:p>
    <w:tbl>
      <w:tblPr>
        <w:tblW w:w="1952" w:type="dxa"/>
        <w:jc w:val="left"/>
        <w:tblInd w:w="0" w:type="dxa"/>
        <w:tblCellMar>
          <w:top w:w="0" w:type="dxa"/>
          <w:left w:w="0" w:type="dxa"/>
          <w:bottom w:w="0" w:type="dxa"/>
          <w:right w:w="0" w:type="dxa"/>
        </w:tblCellMar>
      </w:tblPr>
      <w:tblGrid>
        <w:gridCol w:w="376"/>
        <w:gridCol w:w="1576"/>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15.</w:t>
            </w:r>
          </w:p>
        </w:tc>
        <w:tc>
          <w:tcPr>
            <w:tcW w:w="15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INCOME TAXES</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is a roll-forward of the Company’s total gross unrecognized tax benefits, not including interest and penalties, for the three-months ended March 31, 2023:</w:t>
      </w:r>
    </w:p>
    <w:p>
      <w:pPr>
        <w:pStyle w:val="TextBody"/>
        <w:spacing w:before="0" w:after="0"/>
        <w:ind w:left="0" w:right="0" w:firstLine="720"/>
        <w:jc w:val="both"/>
        <w:rPr/>
      </w:pPr>
      <w:r>
        <w:rPr/>
        <w:t>​</w:t>
      </w:r>
    </w:p>
    <w:tbl>
      <w:tblPr>
        <w:tblW w:w="6568" w:type="dxa"/>
        <w:jc w:val="left"/>
        <w:tblInd w:w="0" w:type="dxa"/>
        <w:tblCellMar>
          <w:top w:w="0" w:type="dxa"/>
          <w:left w:w="0" w:type="dxa"/>
          <w:bottom w:w="0" w:type="dxa"/>
          <w:right w:w="0" w:type="dxa"/>
        </w:tblCellMar>
      </w:tblPr>
      <w:tblGrid>
        <w:gridCol w:w="4411"/>
        <w:gridCol w:w="326"/>
        <w:gridCol w:w="435"/>
        <w:gridCol w:w="1396"/>
      </w:tblGrid>
      <w:tr>
        <w:trPr/>
        <w:tc>
          <w:tcPr>
            <w:tcW w:w="44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2800985" cy="175260"/>
                      <wp:effectExtent l="0" t="0" r="0" b="0"/>
                      <wp:wrapNone/>
                      <wp:docPr id="370" name="Frame370"/>
                      <a:graphic xmlns:a="http://schemas.openxmlformats.org/drawingml/2006/main">
                        <a:graphicData uri="http://schemas.microsoft.com/office/word/2010/wordprocessingShape">
                          <wps:wsp>
                            <wps:cNvSpPr txBox="1"/>
                            <wps:spPr>
                              <a:xfrm>
                                <a:off x="0" y="0"/>
                                <a:ext cx="2800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3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76225" cy="175260"/>
                      <wp:effectExtent l="0" t="0" r="0" b="0"/>
                      <wp:wrapNone/>
                      <wp:docPr id="372" name="Frame372"/>
                      <a:graphic xmlns:a="http://schemas.openxmlformats.org/drawingml/2006/main">
                        <a:graphicData uri="http://schemas.microsoft.com/office/word/2010/wordprocessingShape">
                          <wps:wsp>
                            <wps:cNvSpPr txBox="1"/>
                            <wps:spPr>
                              <a:xfrm>
                                <a:off x="0" y="0"/>
                                <a:ext cx="2762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886460" cy="175260"/>
                      <wp:effectExtent l="0" t="0" r="0" b="0"/>
                      <wp:wrapNone/>
                      <wp:docPr id="373" name="Frame373"/>
                      <a:graphic xmlns:a="http://schemas.openxmlformats.org/drawingml/2006/main">
                        <a:graphicData uri="http://schemas.microsoft.com/office/word/2010/wordprocessingShape">
                          <wps:wsp>
                            <wps:cNvSpPr txBox="1"/>
                            <wps:spPr>
                              <a:xfrm>
                                <a:off x="0" y="0"/>
                                <a:ext cx="886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w:t>
            </w:r>
          </w:p>
        </w:tc>
        <w:tc>
          <w:tcPr>
            <w:tcW w:w="1831"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Gross Unrecognized </w:t>
            </w:r>
          </w:p>
        </w:tc>
      </w:tr>
      <w:tr>
        <w:trPr/>
        <w:tc>
          <w:tcPr>
            <w:tcW w:w="441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8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Tax Benefits</w:t>
            </w:r>
          </w:p>
        </w:tc>
      </w:tr>
      <w:tr>
        <w:trPr/>
        <w:tc>
          <w:tcPr>
            <w:tcW w:w="4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December 31, 2022</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3,020</w:t>
            </w:r>
          </w:p>
        </w:tc>
      </w:tr>
      <w:tr>
        <w:trPr/>
        <w:tc>
          <w:tcPr>
            <w:tcW w:w="4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current year</w:t>
            </w:r>
          </w:p>
        </w:tc>
        <w:tc>
          <w:tcPr>
            <w:tcW w:w="326" w:type="dxa"/>
            <w:tcBorders/>
            <w:shd w:fill="auto" w:val="clear"/>
            <w:vAlign w:val="center"/>
          </w:tcPr>
          <w:p>
            <w:pPr>
              <w:pStyle w:val="TableContents"/>
              <w:spacing w:before="0" w:after="0"/>
              <w:ind w:left="0" w:right="0" w:hanging="0"/>
              <w:rPr/>
            </w:pPr>
            <w:r>
              <w:rPr/>
              <w:t>​</w:t>
            </w:r>
          </w:p>
        </w:tc>
        <w:tc>
          <w:tcPr>
            <w:tcW w:w="435" w:type="dxa"/>
            <w:tcBorders/>
            <w:shd w:fill="auto" w:val="clear"/>
            <w:vAlign w:val="center"/>
          </w:tcPr>
          <w:p>
            <w:pPr>
              <w:pStyle w:val="TableContents"/>
              <w:spacing w:before="0" w:after="0"/>
              <w:ind w:left="0" w:right="0" w:hanging="0"/>
              <w:rPr/>
            </w:pPr>
            <w:r>
              <w:rPr/>
              <w:t> </w:t>
            </w:r>
          </w:p>
        </w:tc>
        <w:tc>
          <w:tcPr>
            <w:tcW w:w="1396" w:type="dxa"/>
            <w:tcBorders/>
            <w:shd w:fill="auto" w:val="clear"/>
            <w:vAlign w:val="center"/>
          </w:tcPr>
          <w:p>
            <w:pPr>
              <w:pStyle w:val="TableContents"/>
              <w:spacing w:before="0" w:after="0"/>
              <w:ind w:left="0" w:right="0" w:hanging="0"/>
              <w:jc w:val="right"/>
              <w:rPr/>
            </w:pPr>
            <w:r>
              <w:rPr/>
              <w:t>—</w:t>
            </w:r>
          </w:p>
        </w:tc>
      </w:tr>
      <w:tr>
        <w:trPr/>
        <w:tc>
          <w:tcPr>
            <w:tcW w:w="4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Additions for tax positions related to the prior years</w:t>
            </w:r>
          </w:p>
        </w:tc>
        <w:tc>
          <w:tcPr>
            <w:tcW w:w="326" w:type="dxa"/>
            <w:tcBorders/>
            <w:shd w:fill="CCEEFF" w:val="clear"/>
            <w:vAlign w:val="center"/>
          </w:tcPr>
          <w:p>
            <w:pPr>
              <w:pStyle w:val="TableContents"/>
              <w:spacing w:before="0" w:after="0"/>
              <w:ind w:left="0" w:right="0" w:hanging="0"/>
              <w:rPr/>
            </w:pPr>
            <w:r>
              <w:rPr/>
              <w:t>​</w:t>
            </w:r>
          </w:p>
        </w:tc>
        <w:tc>
          <w:tcPr>
            <w:tcW w:w="435" w:type="dxa"/>
            <w:tcBorders/>
            <w:shd w:fill="CCEEFF" w:val="clear"/>
            <w:vAlign w:val="center"/>
          </w:tcPr>
          <w:p>
            <w:pPr>
              <w:pStyle w:val="TableContents"/>
              <w:spacing w:before="0" w:after="0"/>
              <w:ind w:left="0" w:right="0" w:hanging="0"/>
              <w:rPr/>
            </w:pPr>
            <w:r>
              <w:rPr/>
              <w:t> </w:t>
            </w:r>
          </w:p>
        </w:tc>
        <w:tc>
          <w:tcPr>
            <w:tcW w:w="13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738</w:t>
            </w:r>
          </w:p>
        </w:tc>
      </w:tr>
      <w:tr>
        <w:trPr/>
        <w:tc>
          <w:tcPr>
            <w:tcW w:w="441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Decreases for tax positions related to the prior years</w:t>
            </w:r>
          </w:p>
        </w:tc>
        <w:tc>
          <w:tcPr>
            <w:tcW w:w="326" w:type="dxa"/>
            <w:tcBorders/>
            <w:shd w:fill="auto" w:val="clear"/>
            <w:vAlign w:val="center"/>
          </w:tcPr>
          <w:p>
            <w:pPr>
              <w:pStyle w:val="TableContents"/>
              <w:spacing w:before="0" w:after="0"/>
              <w:ind w:left="0" w:right="0" w:hanging="0"/>
              <w:rPr/>
            </w:pPr>
            <w:r>
              <w:rPr/>
              <w:t>​</w:t>
            </w:r>
          </w:p>
        </w:tc>
        <w:tc>
          <w:tcPr>
            <w:tcW w:w="435"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39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441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Balance at March 31, 2023</w:t>
            </w:r>
          </w:p>
        </w:tc>
        <w:tc>
          <w:tcPr>
            <w:tcW w:w="326" w:type="dxa"/>
            <w:tcBorders/>
            <w:shd w:fill="CCEEFF" w:val="clear"/>
            <w:vAlign w:val="center"/>
          </w:tcPr>
          <w:p>
            <w:pPr>
              <w:pStyle w:val="TableContents"/>
              <w:spacing w:before="0" w:after="0"/>
              <w:ind w:left="0" w:right="0" w:hanging="0"/>
              <w:rPr/>
            </w:pPr>
            <w:r>
              <w:rPr/>
              <w:t>​</w:t>
            </w:r>
          </w:p>
        </w:tc>
        <w:tc>
          <w:tcPr>
            <w:tcW w:w="435"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39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3,758</w:t>
            </w:r>
          </w:p>
        </w:tc>
      </w:tr>
    </w:tbl>
    <w:p>
      <w:pPr>
        <w:pStyle w:val="TextBody"/>
        <w:spacing w:before="0" w:after="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recognizes accrued interest and penalties related to unrecognized tax benefits in the provision for income taxes in the Company’s condensed consolidated financial statements. As of March 31, 2023, the Company had approximately $0.6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is subject to U.S. federal income tax as well as to income tax in multiple state and foreign jurisdictions.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various stages of examination with certain states and certain foreign jurisdictions. The Company’s 2019 through 2021 U.S. federal income tax returns are subject to examination by the IRS. The Company’s state income tax returns are subject to examination for the 2018 through 2021 tax years.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Normal"/>
        <w:spacing w:before="0" w:after="0"/>
        <w:rPr>
          <w:sz w:val="4"/>
          <w:szCs w:val="4"/>
        </w:rPr>
      </w:pPr>
      <w:r>
        <w:rPr>
          <w:sz w:val="4"/>
          <w:szCs w:val="4"/>
        </w:rPr>
      </w:r>
      <w:bookmarkStart w:id="1602" w:name="Tc_LdzWLaldlUCh6KngZ5RJwA_7_0"/>
      <w:bookmarkStart w:id="1603" w:name="Tc_vpiGD9Jw10atgdpwVN2L4w_6_0"/>
      <w:bookmarkStart w:id="1604" w:name="Tc_Cquc7tIA4kG1QUsx99tEFQ_5_0"/>
      <w:bookmarkStart w:id="1605" w:name="Tc_pMl2wG3LTUaaSB2JwUjAUA_4_0"/>
      <w:bookmarkStart w:id="1606" w:name="Tc_lVmF9dnVA0KIg6kBh5t6oQ_3_4"/>
      <w:bookmarkStart w:id="1607" w:name="Tc_6sMlAXBO_kCQhCGN9RkDbg_3_2"/>
      <w:bookmarkStart w:id="1608" w:name="Tc_PR-an4fUxEOq4fIgqyX0EQ_2_2"/>
      <w:bookmarkStart w:id="1609" w:name="Tc_wFHGjkfMS0qaXs_izg9qYA_1_2"/>
      <w:bookmarkStart w:id="1610" w:name="_eddd514f_331a_4132_8b29_0f5b0858f646"/>
      <w:bookmarkStart w:id="1611" w:name="Tc_LdzWLaldlUCh6KngZ5RJwA_7_0"/>
      <w:bookmarkStart w:id="1612" w:name="Tc_vpiGD9Jw10atgdpwVN2L4w_6_0"/>
      <w:bookmarkStart w:id="1613" w:name="Tc_Cquc7tIA4kG1QUsx99tEFQ_5_0"/>
      <w:bookmarkStart w:id="1614" w:name="Tc_pMl2wG3LTUaaSB2JwUjAUA_4_0"/>
      <w:bookmarkStart w:id="1615" w:name="Tc_lVmF9dnVA0KIg6kBh5t6oQ_3_4"/>
      <w:bookmarkStart w:id="1616" w:name="Tc_6sMlAXBO_kCQhCGN9RkDbg_3_2"/>
      <w:bookmarkStart w:id="1617" w:name="Tc_PR-an4fUxEOq4fIgqyX0EQ_2_2"/>
      <w:bookmarkStart w:id="1618" w:name="Tc_wFHGjkfMS0qaXs_izg9qYA_1_2"/>
      <w:bookmarkStart w:id="1619" w:name="_eddd514f_331a_4132_8b29_0f5b0858f646"/>
      <w:bookmarkEnd w:id="1611"/>
      <w:bookmarkEnd w:id="1612"/>
      <w:bookmarkEnd w:id="1613"/>
      <w:bookmarkEnd w:id="1614"/>
      <w:bookmarkEnd w:id="1615"/>
      <w:bookmarkEnd w:id="1616"/>
      <w:bookmarkEnd w:id="1617"/>
      <w:bookmarkEnd w:id="1618"/>
      <w:bookmarkEnd w:id="1619"/>
    </w:p>
    <w:tbl>
      <w:tblPr>
        <w:tblW w:w="2567" w:type="dxa"/>
        <w:jc w:val="left"/>
        <w:tblInd w:w="0" w:type="dxa"/>
        <w:tblCellMar>
          <w:top w:w="0" w:type="dxa"/>
          <w:left w:w="0" w:type="dxa"/>
          <w:bottom w:w="0" w:type="dxa"/>
          <w:right w:w="0" w:type="dxa"/>
        </w:tblCellMar>
      </w:tblPr>
      <w:tblGrid>
        <w:gridCol w:w="376"/>
        <w:gridCol w:w="2191"/>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16.</w:t>
            </w:r>
          </w:p>
        </w:tc>
        <w:tc>
          <w:tcPr>
            <w:tcW w:w="219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EARNINGS PER SHARE</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 reconciliation of the weighted-average shares used in the basic and diluted earnings per common share computations is presented below (in thousands):</w:t>
      </w:r>
    </w:p>
    <w:p>
      <w:pPr>
        <w:pStyle w:val="TextBody"/>
        <w:spacing w:before="0" w:after="0"/>
        <w:ind w:left="0" w:right="0" w:firstLine="720"/>
        <w:jc w:val="both"/>
        <w:rPr/>
      </w:pPr>
      <w:r>
        <w:rPr/>
        <w:t>​</w:t>
      </w:r>
    </w:p>
    <w:tbl>
      <w:tblPr>
        <w:tblW w:w="5845" w:type="dxa"/>
        <w:jc w:val="left"/>
        <w:tblInd w:w="0" w:type="dxa"/>
        <w:tblCellMar>
          <w:top w:w="0" w:type="dxa"/>
          <w:left w:w="0" w:type="dxa"/>
          <w:bottom w:w="0" w:type="dxa"/>
          <w:right w:w="0" w:type="dxa"/>
        </w:tblCellMar>
      </w:tblPr>
      <w:tblGrid>
        <w:gridCol w:w="3226"/>
        <w:gridCol w:w="326"/>
        <w:gridCol w:w="931"/>
        <w:gridCol w:w="326"/>
        <w:gridCol w:w="1036"/>
      </w:tblGrid>
      <w:tr>
        <w:trPr/>
        <w:tc>
          <w:tcPr>
            <w:tcW w:w="32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48510" cy="175260"/>
                      <wp:effectExtent l="0" t="0" r="0" b="0"/>
                      <wp:wrapNone/>
                      <wp:docPr id="374" name="Frame374"/>
                      <a:graphic xmlns:a="http://schemas.openxmlformats.org/drawingml/2006/main">
                        <a:graphicData uri="http://schemas.microsoft.com/office/word/2010/wordprocessingShape">
                          <wps:wsp>
                            <wps:cNvSpPr txBox="1"/>
                            <wps:spPr>
                              <a:xfrm>
                                <a:off x="0" y="0"/>
                                <a:ext cx="2048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207010" cy="175260"/>
                      <wp:effectExtent l="0" t="0" r="0" b="0"/>
                      <wp:wrapNone/>
                      <wp:docPr id="375" name="Frame37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591185" cy="175260"/>
                      <wp:effectExtent l="0" t="0" r="0" b="0"/>
                      <wp:wrapNone/>
                      <wp:docPr id="376" name="Frame376"/>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57860" cy="175260"/>
                      <wp:effectExtent l="0" t="0" r="0" b="0"/>
                      <wp:wrapNone/>
                      <wp:docPr id="378" name="Frame378"/>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93"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93"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32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Weighted-average shares outstanding:</w:t>
            </w:r>
          </w:p>
        </w:tc>
        <w:tc>
          <w:tcPr>
            <w:tcW w:w="326"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1,044,909</w:t>
            </w:r>
          </w:p>
        </w:tc>
        <w:tc>
          <w:tcPr>
            <w:tcW w:w="326" w:type="dxa"/>
            <w:tcBorders/>
            <w:shd w:fill="auto" w:val="clear"/>
            <w:vAlign w:val="center"/>
          </w:tcPr>
          <w:p>
            <w:pPr>
              <w:pStyle w:val="TableContents"/>
              <w:spacing w:before="0" w:after="0"/>
              <w:ind w:left="0" w:right="0" w:hanging="0"/>
              <w:rPr/>
            </w:pPr>
            <w:r>
              <w:rPr/>
              <w:t> </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1,058,810</w:t>
            </w:r>
          </w:p>
        </w:tc>
      </w:tr>
      <w:tr>
        <w:trPr/>
        <w:tc>
          <w:tcPr>
            <w:tcW w:w="32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Dilutive</w:t>
            </w:r>
          </w:p>
        </w:tc>
        <w:tc>
          <w:tcPr>
            <w:tcW w:w="326" w:type="dxa"/>
            <w:tcBorders/>
            <w:shd w:fill="CCEEFF" w:val="clear"/>
            <w:vAlign w:val="center"/>
          </w:tcPr>
          <w:p>
            <w:pPr>
              <w:pStyle w:val="TableContents"/>
              <w:spacing w:before="0" w:after="0"/>
              <w:ind w:left="0" w:right="0" w:hanging="0"/>
              <w:rPr/>
            </w:pPr>
            <w:r>
              <w:rPr/>
              <w:t>​</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14,160</w:t>
            </w:r>
          </w:p>
        </w:tc>
        <w:tc>
          <w:tcPr>
            <w:tcW w:w="326" w:type="dxa"/>
            <w:tcBorders/>
            <w:shd w:fill="CCEEFF" w:val="clear"/>
            <w:vAlign w:val="center"/>
          </w:tcPr>
          <w:p>
            <w:pPr>
              <w:pStyle w:val="TableContents"/>
              <w:spacing w:before="0" w:after="0"/>
              <w:ind w:left="0" w:right="0" w:hanging="0"/>
              <w:rPr/>
            </w:pPr>
            <w:r>
              <w:rPr/>
              <w:t> </w:t>
            </w:r>
          </w:p>
        </w:tc>
        <w:tc>
          <w:tcPr>
            <w:tcW w:w="103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12,298</w:t>
            </w:r>
          </w:p>
        </w:tc>
      </w:tr>
      <w:tr>
        <w:trPr/>
        <w:tc>
          <w:tcPr>
            <w:tcW w:w="32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auto" w:val="clear"/>
            <w:vAlign w:val="center"/>
          </w:tcPr>
          <w:p>
            <w:pPr>
              <w:pStyle w:val="TableContents"/>
              <w:spacing w:before="0" w:after="0"/>
              <w:ind w:left="0" w:right="0" w:hanging="0"/>
              <w:rPr/>
            </w:pPr>
            <w:r>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1,059,069</w:t>
            </w:r>
          </w:p>
        </w:tc>
        <w:tc>
          <w:tcPr>
            <w:tcW w:w="326" w:type="dxa"/>
            <w:tcBorders/>
            <w:shd w:fill="auto" w:val="clear"/>
            <w:vAlign w:val="center"/>
          </w:tcPr>
          <w:p>
            <w:pPr>
              <w:pStyle w:val="TableContents"/>
              <w:spacing w:before="0" w:after="0"/>
              <w:ind w:left="0" w:right="0" w:hanging="0"/>
              <w:rPr/>
            </w:pPr>
            <w:r>
              <w:rPr/>
              <w:t> </w:t>
            </w:r>
          </w:p>
        </w:tc>
        <w:tc>
          <w:tcPr>
            <w:tcW w:w="103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1,071,108</w:t>
            </w:r>
          </w:p>
        </w:tc>
      </w:tr>
    </w:tbl>
    <w:p>
      <w:pPr>
        <w:pStyle w:val="TextBody"/>
        <w:spacing w:before="0" w:after="0"/>
        <w:ind w:left="0" w:right="0" w:hanging="0"/>
        <w:jc w:val="both"/>
        <w:rPr/>
      </w:pPr>
      <w:r>
        <w:rPr/>
        <w:t>​</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For the three-months ended March 31, 2023 and 2022, options and awards outstanding totaling 2.6 million shares and 3.2 million shares, respectively, were excluded from the calculations as their effect would have been antidilutive. </w:t>
      </w:r>
    </w:p>
    <w:p>
      <w:pPr>
        <w:pStyle w:val="TextBody"/>
        <w:spacing w:before="0" w:after="0"/>
        <w:ind w:left="0" w:right="0" w:firstLine="720"/>
        <w:jc w:val="both"/>
        <w:rPr/>
      </w:pPr>
      <w:r>
        <w:rPr/>
        <w:t>​</w:t>
      </w:r>
    </w:p>
    <w:tbl>
      <w:tblPr>
        <w:tblW w:w="2822" w:type="dxa"/>
        <w:jc w:val="left"/>
        <w:tblInd w:w="0" w:type="dxa"/>
        <w:tblCellMar>
          <w:top w:w="0" w:type="dxa"/>
          <w:left w:w="0" w:type="dxa"/>
          <w:bottom w:w="0" w:type="dxa"/>
          <w:right w:w="0" w:type="dxa"/>
        </w:tblCellMar>
      </w:tblPr>
      <w:tblGrid>
        <w:gridCol w:w="376"/>
        <w:gridCol w:w="2446"/>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17.</w:t>
            </w:r>
          </w:p>
        </w:tc>
        <w:tc>
          <w:tcPr>
            <w:tcW w:w="244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SEGMENT INFORMATION</w:t>
            </w:r>
          </w:p>
        </w:tc>
      </w:tr>
    </w:tbl>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Company has four operating and </w:t>
      </w:r>
      <w:r>
        <w:rPr>
          <w:rFonts w:ascii="Times New Roman;Times;serif" w:hAnsi="Times New Roman;Times;serif"/>
          <w:b w:val="false"/>
          <w:i w:val="false"/>
          <w:caps w:val="false"/>
          <w:smallCaps w:val="false"/>
          <w:sz w:val="20"/>
        </w:rPr>
        <w:t>reportable</w:t>
      </w:r>
      <w:r>
        <w:rPr>
          <w:rFonts w:ascii="Times New Roman;Times;serif" w:hAnsi="Times New Roman;Times;serif"/>
          <w:sz w:val="20"/>
        </w:rPr>
        <w:t xml:space="preserve"> segments: (i) Monster Energy® Drinks segment, which is primarily comprised of the Company’s Monster Energy® drinks, Reign Total Body Fuel® high performance energy drinks, Monster</w:t>
      </w:r>
      <w:r>
        <w:rPr>
          <w:rFonts w:ascii="Times New Roman;Times;serif" w:hAnsi="Times New Roman;Times;serif"/>
          <w:i/>
          <w:sz w:val="20"/>
        </w:rPr>
        <w:t>®</w:t>
      </w:r>
      <w:r>
        <w:rPr>
          <w:rFonts w:ascii="Times New Roman;Times;serif" w:hAnsi="Times New Roman;Times;serif"/>
          <w:sz w:val="20"/>
        </w:rPr>
        <w:t xml:space="preserve"> Tour Water</w:t>
      </w:r>
      <w:r>
        <w:rPr>
          <w:rFonts w:ascii="Times New Roman;Times;serif" w:hAnsi="Times New Roman;Times;serif"/>
          <w:sz w:val="15"/>
        </w:rPr>
        <w:t>TM</w:t>
      </w:r>
      <w:r>
        <w:rPr>
          <w:rFonts w:ascii="Times New Roman;Times;serif" w:hAnsi="Times New Roman;Times;serif"/>
          <w:sz w:val="20"/>
        </w:rPr>
        <w:t xml:space="preserve"> and Reign Storm® total wellness energy drinks,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which is comprised of the AFF Third-Party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and gas chains, drug stores, foodservice customers, value stores, e-commerce retailers and the military.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and gas chains, foodservice customers, drug stores, value stores, e-commerce retailers and the military. To a lesser extent, the Strategic Brands segment generates net operating revenues by selling certain ready-to-drink packaged energy drinks to bottlers/distributors.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Monster Energy® Drinks segment generates higher per case net operating revenues, but lower per case gross profit margin percentages than the Strategic Brands segment.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Company’s Alcohol Brands segment primarily generates operating revenues by selling kegged and ready-to-drink canned beers, hard seltzers and FMBs primarily to beer distributors in the United States.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the Alcohol Brands segment will have lower gross profit margin percentages than the Monster Energy® Drinks segment.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 </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0"/>
        <w:ind w:left="0" w:right="0" w:firstLine="720"/>
        <w:jc w:val="both"/>
        <w:rPr>
          <w:rFonts w:ascii="Times New Roman;Times;serif" w:hAnsi="Times New Roman;Times;serif"/>
          <w:sz w:val="20"/>
        </w:rPr>
      </w:pPr>
      <w:bookmarkStart w:id="1620" w:name="Tc_hKd09a9EaEG_HV-DAShhig_10_5"/>
      <w:bookmarkStart w:id="1621" w:name="Tc_-X0RxNqOBk28AaAdGFQf6g_10_2"/>
      <w:bookmarkStart w:id="1622" w:name="Tc_rkXOaFuZiUCPK80dGe8vFg_9_0"/>
      <w:bookmarkStart w:id="1623" w:name="Tc_7q6bJwfks0ilgFXZmLzm6A_8_0"/>
      <w:bookmarkStart w:id="1624" w:name="Tc_UaXJq1Zd-02LIx6ZNJQB9Q_7_0"/>
      <w:bookmarkStart w:id="1625" w:name="Tc_IiwhE5qWM0G-uFRIcP5DXA_6_0"/>
      <w:bookmarkStart w:id="1626" w:name="Tc_sxnXsCEkpkWjDAaI4kp4RA_5_5"/>
      <w:bookmarkStart w:id="1627" w:name="Tc_NCLfy75YxUmKh8UE7uJctw_5_2"/>
      <w:bookmarkStart w:id="1628" w:name="Tc_GPWi6Mx1e0CAYA4WGqeWoA_5_0"/>
      <w:bookmarkStart w:id="1629" w:name="Tc_wek71z3XYESUGS6-HZ5H6A_4_0"/>
      <w:bookmarkStart w:id="1630" w:name="Tc_iozr3XJWukWLAqloG6BK6A_3_5"/>
      <w:bookmarkStart w:id="1631" w:name="Tc_xqpLXe6Pukip0fZW1theEQ_3_2"/>
      <w:bookmarkStart w:id="1632" w:name="Tc_PclnU0ASf0S9H0FpAabzyA_2_2"/>
      <w:bookmarkStart w:id="1633" w:name="Tc_-ckNPBVesESMpc-0G__4gQ_1_2"/>
      <w:bookmarkStart w:id="1634" w:name="_2326e99b_b6a2_411b_965f_5a2b99a53c97"/>
      <w:bookmarkStart w:id="1635" w:name="Tc_ST7mUNSY-kOYCw9i9gD8yA_10_5"/>
      <w:bookmarkStart w:id="1636" w:name="Tc_UjzqQfkdnkiRtmXCdSVSeA_10_2"/>
      <w:bookmarkStart w:id="1637" w:name="Tc_86_kyv9kyUGerQgvOEezag_9_0"/>
      <w:bookmarkStart w:id="1638" w:name="Tc_yRkTTPXQiUCiYbykuERa3w_8_0"/>
      <w:bookmarkStart w:id="1639" w:name="Tc_1jP1AxeIJUWCl5OOcdS8Pw_7_0"/>
      <w:bookmarkStart w:id="1640" w:name="Tc_n8qyXAjE1ECzc5v_MWyyKQ_6_0"/>
      <w:bookmarkStart w:id="1641" w:name="Tc_X-9fmwxalkyCG9j0mFy7Kg_5_5"/>
      <w:bookmarkStart w:id="1642" w:name="Tc_Ytl4o1l0Vky2DThAcMhlRg_5_2"/>
      <w:bookmarkStart w:id="1643" w:name="Tc_3RJDODFSPEW23CA3J4KkcQ_5_0"/>
      <w:bookmarkStart w:id="1644" w:name="Tc_Woq2yrRqbUWYOqz5hujo3w_4_0"/>
      <w:bookmarkStart w:id="1645" w:name="Tc_8ZnPuk4CQ02zu6EQGwYJdg_3_5"/>
      <w:bookmarkStart w:id="1646" w:name="Tc_wJpC84vJakyCJ8wGUoFA3g_3_2"/>
      <w:bookmarkStart w:id="1647" w:name="Tc_VgQ7wFcBOUOgCN4h4E-zvw_2_2"/>
      <w:bookmarkStart w:id="1648" w:name="Tc_WkVWy73ABEGFBfUWh7LQuw_1_2"/>
      <w:bookmarkStart w:id="1649" w:name="_b4c9d00b_8e0a_44f3_95ce_2c2339aeca40"/>
      <w:bookmarkStart w:id="1650" w:name="Tc_Rx5XatB1YU-SDxgalyHv1Q_10_5"/>
      <w:bookmarkStart w:id="1651" w:name="Tc_VfnCuyL990ecKugvctyzVg_10_2"/>
      <w:bookmarkStart w:id="1652" w:name="Tc_KB-dlIn8U02wTaI95nLgtA_9_0"/>
      <w:bookmarkStart w:id="1653" w:name="Tc_0B_wcYqZDUSBYPXMrh3QIQ_8_0"/>
      <w:bookmarkStart w:id="1654" w:name="Tc_wmrkRP72a06BGHqEDJRDJg_7_0"/>
      <w:bookmarkStart w:id="1655" w:name="Tc_J6ew9HTjQkKqb1LRt8o40A_6_0"/>
      <w:bookmarkStart w:id="1656" w:name="Tc_IsDKvLbKJ02MkojMEj8opw_5_5"/>
      <w:bookmarkStart w:id="1657" w:name="Tc_kLF4TYEJHUGoqC8T_9vCdw_5_2"/>
      <w:bookmarkStart w:id="1658" w:name="Tc_2wmY61Ma40q5WDgeyJTIHA_5_0"/>
      <w:bookmarkStart w:id="1659" w:name="Tc_gw78ZDs7Mkq_a_ua-CkFrQ_4_0"/>
      <w:bookmarkStart w:id="1660" w:name="Tc_gMk_Swn0s0CRewkCEiKv-A_3_5"/>
      <w:bookmarkStart w:id="1661" w:name="Tc_nH-wNs9MTU-o3xuQ-Z3mRw_3_2"/>
      <w:bookmarkStart w:id="1662" w:name="Tc_xHxtnpOgMEmVRmI9mUYdtA_2_2"/>
      <w:bookmarkStart w:id="1663" w:name="Tc_4I99ioW5H0qpmqKKJ83xrA_1_2"/>
      <w:bookmarkStart w:id="1664" w:name="_f220666d_4b43_4a60_bacb_57793d45d121"/>
      <w:bookmarkStart w:id="1665" w:name="Tc_RYkEv4NbJUKjs29GfElB9w_10_5"/>
      <w:bookmarkStart w:id="1666" w:name="Tc_5ZMKKLicvUOFb-AHgRBOhQ_10_2"/>
      <w:bookmarkStart w:id="1667" w:name="Tc_7YAZUVU1K0mfjCpjlWAOZA_9_0"/>
      <w:bookmarkStart w:id="1668" w:name="Tc_X10vYAUIF0qbtvrIVfa6pQ_8_0"/>
      <w:bookmarkStart w:id="1669" w:name="Tc_iSNmhqrW1U-UQE4yxFNnxA_7_0"/>
      <w:bookmarkStart w:id="1670" w:name="Tc_S3QQT80iREK6MndAHR2vrg_6_0"/>
      <w:bookmarkStart w:id="1671" w:name="Tc_JFxtdg07D02vAv5uKW8Llg_5_5"/>
      <w:bookmarkStart w:id="1672" w:name="Tc_ucYvsdrQgEGF0qQf3xxkFw_5_2"/>
      <w:bookmarkStart w:id="1673" w:name="Tc_mmd91j-MQ02lq0pn59hbRA_5_0"/>
      <w:bookmarkStart w:id="1674" w:name="Tc_Oxf82m7jX0msAM90GddVfg_4_0"/>
      <w:bookmarkStart w:id="1675" w:name="Tc_VJuYa7Nsv0a9JPc6JvWu6w_3_5"/>
      <w:bookmarkStart w:id="1676" w:name="Tc_996bKLVssEO1tjrz-6I-Wg_3_2"/>
      <w:bookmarkStart w:id="1677" w:name="Tc_KzRFA1oTK0i3wop9au1vmw_2_2"/>
      <w:bookmarkStart w:id="1678" w:name="Tc_a4LoC6lMhESSHqP-eXfwAg_1_2"/>
      <w:bookmarkStart w:id="1679" w:name="_cc5717f4_0c2b_4f2e_ac51_39258d0b10db"/>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r>
        <w:rPr>
          <w:rFonts w:ascii="Times New Roman;Times;serif" w:hAnsi="Times New Roman;Times;serif"/>
          <w:sz w:val="20"/>
        </w:rPr>
        <w:t>The net revenues derived from the Company’s reportable segments and other financial information related thereto for the three-months ended March 31, 2023 and 2022 were as follows:</w:t>
      </w:r>
    </w:p>
    <w:p>
      <w:pPr>
        <w:pStyle w:val="TextBody"/>
        <w:spacing w:before="0" w:after="0"/>
        <w:ind w:left="0" w:right="0" w:firstLine="720"/>
        <w:jc w:val="both"/>
        <w:rPr/>
      </w:pPr>
      <w:r>
        <w:rPr/>
        <w:t>​</w:t>
      </w:r>
    </w:p>
    <w:tbl>
      <w:tblPr>
        <w:tblW w:w="5322" w:type="dxa"/>
        <w:jc w:val="left"/>
        <w:tblInd w:w="0" w:type="dxa"/>
        <w:tblCellMar>
          <w:top w:w="0" w:type="dxa"/>
          <w:left w:w="0" w:type="dxa"/>
          <w:bottom w:w="0" w:type="dxa"/>
          <w:right w:w="0" w:type="dxa"/>
        </w:tblCellMar>
      </w:tblPr>
      <w:tblGrid>
        <w:gridCol w:w="2281"/>
        <w:gridCol w:w="326"/>
        <w:gridCol w:w="211"/>
        <w:gridCol w:w="931"/>
        <w:gridCol w:w="326"/>
        <w:gridCol w:w="211"/>
        <w:gridCol w:w="1036"/>
      </w:tblGrid>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9" name="Frame37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91185" cy="175260"/>
                      <wp:effectExtent l="0" t="0" r="0" b="0"/>
                      <wp:wrapNone/>
                      <wp:docPr id="380" name="Frame38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57860" cy="175260"/>
                      <wp:effectExtent l="0" t="0" r="0" b="0"/>
                      <wp:wrapNone/>
                      <wp:docPr id="383" name="Frame383"/>
                      <a:graphic xmlns:a="http://schemas.openxmlformats.org/drawingml/2006/main">
                        <a:graphicData uri="http://schemas.microsoft.com/office/word/2010/wordprocessingShape">
                          <wps:wsp>
                            <wps:cNvSpPr txBox="1"/>
                            <wps:spPr>
                              <a:xfrm>
                                <a:off x="0" y="0"/>
                                <a:ext cx="6578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71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24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1036" w:type="dxa"/>
            <w:tcBorders/>
            <w:shd w:fill="CCEEFF" w:val="clear"/>
            <w:vAlign w:val="center"/>
          </w:tcPr>
          <w:p>
            <w:pPr>
              <w:pStyle w:val="TableContents"/>
              <w:spacing w:before="0" w:after="0"/>
              <w:ind w:left="0" w:right="0" w:hanging="0"/>
              <w:jc w:val="right"/>
              <w:rPr/>
            </w:pPr>
            <w:r>
              <w:rPr/>
              <w:t>​</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r>
              <w:rPr>
                <w:rFonts w:ascii="Times New Roman;Times;serif" w:hAnsi="Times New Roman;Times;serif"/>
                <w:sz w:val="20"/>
              </w:rPr>
              <w:t xml:space="preserve"> </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1,561,669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1,404,847</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86,357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92,593</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103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15,207</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103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5,927</w:t>
            </w:r>
          </w:p>
        </w:tc>
      </w:tr>
      <w:tr>
        <w:trPr/>
        <w:tc>
          <w:tcPr>
            <w:tcW w:w="22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3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2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1,518,574</w:t>
            </w:r>
          </w:p>
        </w:tc>
      </w:tr>
    </w:tbl>
    <w:p>
      <w:pPr>
        <w:pStyle w:val="TextBody"/>
        <w:spacing w:before="0" w:after="0"/>
        <w:ind w:left="0" w:right="0" w:firstLine="720"/>
        <w:jc w:val="both"/>
        <w:rPr/>
      </w:pPr>
      <w:r>
        <w:rPr/>
        <w:t>​</w:t>
      </w:r>
    </w:p>
    <w:tbl>
      <w:tblPr>
        <w:tblW w:w="5202" w:type="dxa"/>
        <w:jc w:val="left"/>
        <w:tblInd w:w="0" w:type="dxa"/>
        <w:tblCellMar>
          <w:top w:w="0" w:type="dxa"/>
          <w:left w:w="0" w:type="dxa"/>
          <w:bottom w:w="0" w:type="dxa"/>
          <w:right w:w="0" w:type="dxa"/>
        </w:tblCellMar>
      </w:tblPr>
      <w:tblGrid>
        <w:gridCol w:w="2281"/>
        <w:gridCol w:w="326"/>
        <w:gridCol w:w="211"/>
        <w:gridCol w:w="901"/>
        <w:gridCol w:w="326"/>
        <w:gridCol w:w="211"/>
        <w:gridCol w:w="946"/>
      </w:tblGrid>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572135" cy="175260"/>
                      <wp:effectExtent l="0" t="0" r="0" b="0"/>
                      <wp:wrapNone/>
                      <wp:docPr id="385" name="Frame385"/>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07010" cy="175260"/>
                      <wp:effectExtent l="0" t="0" r="0" b="0"/>
                      <wp:wrapNone/>
                      <wp:docPr id="386" name="Frame3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133985" cy="175260"/>
                      <wp:effectExtent l="0" t="0" r="0" b="0"/>
                      <wp:wrapNone/>
                      <wp:docPr id="387" name="Frame3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00710" cy="175260"/>
                      <wp:effectExtent l="0" t="0" r="0" b="0"/>
                      <wp:wrapNone/>
                      <wp:docPr id="388" name="Frame388"/>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9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560,819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454,563</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57,195</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(6,883)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(4,953)</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1,127</w:t>
            </w:r>
          </w:p>
        </w:tc>
      </w:tr>
      <w:tr>
        <w:trPr/>
        <w:tc>
          <w:tcPr>
            <w:tcW w:w="22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(120,350)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(108,443)</w:t>
            </w:r>
          </w:p>
        </w:tc>
      </w:tr>
      <w:tr>
        <w:trPr/>
        <w:tc>
          <w:tcPr>
            <w:tcW w:w="22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485,064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399,489</w:t>
            </w:r>
          </w:p>
        </w:tc>
      </w:tr>
    </w:tbl>
    <w:p>
      <w:pPr>
        <w:pStyle w:val="TextBody"/>
        <w:spacing w:before="0" w:after="0"/>
        <w:ind w:left="0" w:right="0" w:firstLine="720"/>
        <w:jc w:val="both"/>
        <w:rPr/>
      </w:pPr>
      <w:r>
        <w:rPr/>
        <w:t>​</w:t>
      </w:r>
    </w:p>
    <w:tbl>
      <w:tblPr>
        <w:tblW w:w="5202" w:type="dxa"/>
        <w:jc w:val="left"/>
        <w:tblInd w:w="0" w:type="dxa"/>
        <w:tblCellMar>
          <w:top w:w="0" w:type="dxa"/>
          <w:left w:w="0" w:type="dxa"/>
          <w:bottom w:w="0" w:type="dxa"/>
          <w:right w:w="0" w:type="dxa"/>
        </w:tblCellMar>
      </w:tblPr>
      <w:tblGrid>
        <w:gridCol w:w="2281"/>
        <w:gridCol w:w="326"/>
        <w:gridCol w:w="211"/>
        <w:gridCol w:w="901"/>
        <w:gridCol w:w="326"/>
        <w:gridCol w:w="211"/>
        <w:gridCol w:w="946"/>
      </w:tblGrid>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33985" cy="175260"/>
                      <wp:effectExtent l="0" t="0" r="0" b="0"/>
                      <wp:wrapNone/>
                      <wp:docPr id="389" name="Frame38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572135" cy="175260"/>
                      <wp:effectExtent l="0" t="0" r="0" b="0"/>
                      <wp:wrapNone/>
                      <wp:docPr id="390" name="Frame390"/>
                      <a:graphic xmlns:a="http://schemas.openxmlformats.org/drawingml/2006/main">
                        <a:graphicData uri="http://schemas.microsoft.com/office/word/2010/wordprocessingShape">
                          <wps:wsp>
                            <wps:cNvSpPr txBox="1"/>
                            <wps:spPr>
                              <a:xfrm>
                                <a:off x="0" y="0"/>
                                <a:ext cx="5721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207010" cy="175260"/>
                      <wp:effectExtent l="0" t="0" r="0" b="0"/>
                      <wp:wrapNone/>
                      <wp:docPr id="391" name="Frame3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133985" cy="175260"/>
                      <wp:effectExtent l="0" t="0" r="0" b="0"/>
                      <wp:wrapNone/>
                      <wp:docPr id="392" name="Frame3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00710" cy="175260"/>
                      <wp:effectExtent l="0" t="0" r="0" b="0"/>
                      <wp:wrapNone/>
                      <wp:docPr id="393" name="Frame393"/>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9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9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22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111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jc w:val="center"/>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before tax:</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0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46" w:type="dxa"/>
            <w:tcBorders/>
            <w:shd w:fill="CCEEFF" w:val="clear"/>
            <w:vAlign w:val="center"/>
          </w:tcPr>
          <w:p>
            <w:pPr>
              <w:pStyle w:val="TableContents"/>
              <w:spacing w:before="0" w:after="0"/>
              <w:ind w:left="0" w:right="0" w:hanging="0"/>
              <w:jc w:val="right"/>
              <w:rPr/>
            </w:pPr>
            <w:r>
              <w:rPr/>
              <w:t>​</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Monster Energy® Drinks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561,674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455,134</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51,788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57,254</w:t>
            </w:r>
          </w:p>
        </w:tc>
      </w:tr>
      <w:tr>
        <w:trPr/>
        <w:tc>
          <w:tcPr>
            <w:tcW w:w="228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Alcohol Brands</w:t>
            </w:r>
            <w:r>
              <w:rPr>
                <w:rFonts w:ascii="Times New Roman;Times;serif" w:hAnsi="Times New Roman;Time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0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(6,867)</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(5,606)</w:t>
            </w:r>
          </w:p>
        </w:tc>
      </w:tr>
      <w:tr>
        <w:trPr/>
        <w:tc>
          <w:tcPr>
            <w:tcW w:w="228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0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1,137</w:t>
            </w:r>
          </w:p>
        </w:tc>
      </w:tr>
      <w:tr>
        <w:trPr/>
        <w:tc>
          <w:tcPr>
            <w:tcW w:w="228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0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(108,742)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4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(115,730)</w:t>
            </w:r>
          </w:p>
        </w:tc>
      </w:tr>
      <w:tr>
        <w:trPr/>
        <w:tc>
          <w:tcPr>
            <w:tcW w:w="228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497,560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392,189</w:t>
            </w:r>
          </w:p>
        </w:tc>
      </w:tr>
    </w:tbl>
    <w:p>
      <w:pPr>
        <w:pStyle w:val="TextBody"/>
        <w:spacing w:before="0" w:after="0"/>
        <w:ind w:left="0" w:right="0" w:firstLine="360"/>
        <w:rPr/>
      </w:pPr>
      <w:r>
        <w:rPr/>
        <w:t>​</w:t>
      </w:r>
    </w:p>
    <w:tbl>
      <w:tblPr>
        <w:tblW w:w="10205" w:type="dxa"/>
        <w:jc w:val="left"/>
        <w:tblInd w:w="0" w:type="dxa"/>
        <w:tblCellMar>
          <w:top w:w="28" w:type="dxa"/>
          <w:left w:w="28" w:type="dxa"/>
          <w:bottom w:w="28" w:type="dxa"/>
          <w:right w:w="28" w:type="dxa"/>
        </w:tblCellMar>
      </w:tblPr>
      <w:tblGrid>
        <w:gridCol w:w="124"/>
        <w:gridCol w:w="309"/>
        <w:gridCol w:w="9772"/>
      </w:tblGrid>
      <w:tr>
        <w:trPr/>
        <w:tc>
          <w:tcPr>
            <w:tcW w:w="124"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16"/>
              </w:rPr>
            </w:pPr>
            <w:r>
              <w:rPr>
                <w:rFonts w:ascii="Times New Roman;Times;serif" w:hAnsi="Times New Roman;Times;serif"/>
                <w:i/>
                <w:sz w:val="16"/>
              </w:rPr>
              <w:t>(1)</w:t>
            </w:r>
          </w:p>
        </w:tc>
        <w:tc>
          <w:tcPr>
            <w:tcW w:w="9772" w:type="dxa"/>
            <w:tcBorders/>
            <w:shd w:fill="auto" w:val="clear"/>
            <w:tcMar>
              <w:top w:w="0" w:type="dxa"/>
              <w:left w:w="0" w:type="dxa"/>
              <w:bottom w:w="0" w:type="dxa"/>
              <w:right w:w="0" w:type="dxa"/>
            </w:tcMar>
            <w:vAlign w:val="center"/>
          </w:tcPr>
          <w:p>
            <w:pPr>
              <w:pStyle w:val="TableContents"/>
              <w:spacing w:before="0" w:after="283"/>
              <w:rPr/>
            </w:pPr>
            <w:r>
              <w:rPr>
                <w:rFonts w:ascii="Times New Roman;Times;serif" w:hAnsi="Times New Roman;Times;serif"/>
                <w:b w:val="false"/>
                <w:i/>
                <w:sz w:val="16"/>
              </w:rPr>
              <w:t>Includes $9.9 million and $10.0</w:t>
            </w:r>
            <w:r>
              <w:rPr/>
              <w:t xml:space="preserve"> </w:t>
            </w:r>
            <w:r>
              <w:rPr>
                <w:rFonts w:ascii="Times New Roman;Times;serif" w:hAnsi="Times New Roman;Times;serif"/>
                <w:b w:val="false"/>
                <w:i/>
                <w:sz w:val="16"/>
              </w:rPr>
              <w:t>million for the three-months ended March 31, 2023 and 2022, respectively, related to the recognition of deferred revenue.</w:t>
            </w:r>
          </w:p>
        </w:tc>
      </w:tr>
    </w:tbl>
    <w:tbl>
      <w:tblPr>
        <w:tblW w:w="7566" w:type="dxa"/>
        <w:jc w:val="left"/>
        <w:tblInd w:w="0" w:type="dxa"/>
        <w:tblCellMar>
          <w:top w:w="28" w:type="dxa"/>
          <w:left w:w="28" w:type="dxa"/>
          <w:bottom w:w="28" w:type="dxa"/>
          <w:right w:w="28" w:type="dxa"/>
        </w:tblCellMar>
      </w:tblPr>
      <w:tblGrid>
        <w:gridCol w:w="124"/>
        <w:gridCol w:w="316"/>
        <w:gridCol w:w="7126"/>
      </w:tblGrid>
      <w:tr>
        <w:trPr/>
        <w:tc>
          <w:tcPr>
            <w:tcW w:w="124"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i/>
                <w:sz w:val="16"/>
              </w:rPr>
            </w:pPr>
            <w:r>
              <w:rPr>
                <w:rFonts w:ascii="Times New Roman;Times;serif" w:hAnsi="Times New Roman;Times;serif"/>
                <w:i/>
                <w:sz w:val="16"/>
              </w:rPr>
              <w:t>(2)</w:t>
            </w:r>
          </w:p>
        </w:tc>
        <w:tc>
          <w:tcPr>
            <w:tcW w:w="712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sz w:val="16"/>
              </w:rPr>
            </w:pPr>
            <w:r>
              <w:rPr>
                <w:rFonts w:ascii="Times New Roman;Times;serif" w:hAnsi="Times New Roman;Times;serif"/>
                <w:b w:val="false"/>
                <w:i/>
                <w:sz w:val="16"/>
              </w:rPr>
              <w:t>For the three-months ended March 31, 2022, effectively from February 17, 2022 to March 31, 2022.</w:t>
            </w:r>
          </w:p>
        </w:tc>
      </w:tr>
    </w:tbl>
    <w:p>
      <w:pPr>
        <w:pStyle w:val="TextBody"/>
        <w:spacing w:before="0" w:after="0"/>
        <w:ind w:left="0" w:right="0" w:hanging="0"/>
        <w:rPr/>
      </w:pPr>
      <w:r>
        <w:rPr/>
        <w:t>​</w:t>
      </w:r>
    </w:p>
    <w:tbl>
      <w:tblPr>
        <w:tblW w:w="5187" w:type="dxa"/>
        <w:jc w:val="left"/>
        <w:tblInd w:w="0" w:type="dxa"/>
        <w:tblCellMar>
          <w:top w:w="0" w:type="dxa"/>
          <w:left w:w="0" w:type="dxa"/>
          <w:bottom w:w="0" w:type="dxa"/>
          <w:right w:w="0" w:type="dxa"/>
        </w:tblCellMar>
      </w:tblPr>
      <w:tblGrid>
        <w:gridCol w:w="2656"/>
        <w:gridCol w:w="326"/>
        <w:gridCol w:w="211"/>
        <w:gridCol w:w="676"/>
        <w:gridCol w:w="326"/>
        <w:gridCol w:w="211"/>
        <w:gridCol w:w="781"/>
      </w:tblGrid>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33985" cy="175260"/>
                      <wp:effectExtent l="0" t="0" r="0" b="0"/>
                      <wp:wrapNone/>
                      <wp:docPr id="394" name="Frame39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29260" cy="175260"/>
                      <wp:effectExtent l="0" t="0" r="0" b="0"/>
                      <wp:wrapNone/>
                      <wp:docPr id="395" name="Frame39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6" name="Frame39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3985" cy="175260"/>
                      <wp:effectExtent l="0" t="0" r="0" b="0"/>
                      <wp:wrapNone/>
                      <wp:docPr id="397" name="Frame39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95935" cy="175260"/>
                      <wp:effectExtent l="0" t="0" r="0" b="0"/>
                      <wp:wrapNone/>
                      <wp:docPr id="398" name="Frame398"/>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20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67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26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8,989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8,159</w:t>
            </w:r>
          </w:p>
        </w:tc>
      </w:tr>
      <w:tr>
        <w:trPr/>
        <w:tc>
          <w:tcPr>
            <w:tcW w:w="26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w:t>
            </w:r>
          </w:p>
        </w:tc>
      </w:tr>
      <w:tr>
        <w:trPr/>
        <w:tc>
          <w:tcPr>
            <w:tcW w:w="26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Alcohol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4,051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2,283</w:t>
            </w:r>
          </w:p>
        </w:tc>
      </w:tr>
      <w:tr>
        <w:trPr/>
        <w:tc>
          <w:tcPr>
            <w:tcW w:w="265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1,123</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r>
      <w:tr>
        <w:trPr/>
        <w:tc>
          <w:tcPr>
            <w:tcW w:w="265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Corporate and unallocated</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2,424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2,814</w:t>
            </w:r>
          </w:p>
        </w:tc>
      </w:tr>
      <w:tr>
        <w:trPr/>
        <w:tc>
          <w:tcPr>
            <w:tcW w:w="265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16,808</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14,599</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bookmarkStart w:id="1680" w:name="Tc_cJ5z3fVuM0ySpjZ9Ze1sbg_8_5"/>
      <w:bookmarkStart w:id="1681" w:name="Tc__RXdTSfu4Ei4KTKnStCzRQ_8_2"/>
      <w:bookmarkStart w:id="1682" w:name="Tc_gpGzZWFWcUyUtQ0u_jJ9xw_7_3"/>
      <w:bookmarkStart w:id="1683" w:name="Tc_h1xYB_um7EOfgquzC_TtRA_7_0"/>
      <w:bookmarkStart w:id="1684" w:name="Tc__v5MFZ6lBE6TH6O4bRjIPA_6_0"/>
      <w:bookmarkStart w:id="1685" w:name="Tc_4X9eDxJyYkO9kutGww9hOQ_5_0"/>
      <w:bookmarkStart w:id="1686" w:name="Tc_0iiSMf_pGkuJrGsM6WKi_A_4_5"/>
      <w:bookmarkStart w:id="1687" w:name="Tc_2BSFlfWKrEOQlz9dENVWnw_4_2"/>
      <w:bookmarkStart w:id="1688" w:name="Tc_hhtsCc0mTUagUSCMM7Phjg_4_0"/>
      <w:bookmarkStart w:id="1689" w:name="Tc_86KrHl0mG0SKqNkbsSg83g_3_0"/>
      <w:bookmarkStart w:id="1690" w:name="Tc_Hs7udvLDikC49s6lshkyBg_2_5"/>
      <w:bookmarkStart w:id="1691" w:name="Tc_CDGFghivNUGlMQH7P_GIiQ_2_2"/>
      <w:bookmarkStart w:id="1692" w:name="Tc_xsjZq8-oRUCjGFoEoeZ4uw_1_5"/>
      <w:bookmarkStart w:id="1693" w:name="Tc_FV-DyyNkaEydeaHFmfjY6w_1_2"/>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r>
        <w:rPr>
          <w:rFonts w:ascii="Times New Roman;Times;serif" w:hAnsi="Times New Roman;Times;serif"/>
          <w:sz w:val="20"/>
        </w:rPr>
        <w:t>Corporate and unallocated expenses for the three-months ended March 31, 2023 include $80.3 million of payroll costs, of which $15.7 million was attributable to stock-based compensation expenses (see Note 14 “Stock-Based Compensation”), as well as $22.1 million attributable to professional service expenses, including accounting and legal costs, and $18.0 million of other operating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Corporate and unallocated expenses for the three-months ended March 31, 2022 include $68.1 million of payroll costs, of which $16.2 million was attributable to stock-based compensation expenses (see Note 14 “Stock-Based Compensation”), as well as $26.4 million attributable to professional service expenses, including accounting and legal costs, and $13.9 million of other operating expenses. </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13% and 12% of the Company’s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9% of the Company’s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Reyes Coca-Cola Bottling, LLC accounted for approximately 9% and 10% of the Company’s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customers outside the United States amounted to $622.9 million and $553.4 million for the three-months ended March 31, 2023 and 2022, respectively. Such sales were approximately 37% and 36% of net sales for the three-months ended March 31, 2023 and 2022, respectively.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Goodwill and other intangible assets for the Company’s reportable segments as of March 31, 2023 and December 31, 2022 were as follows:</w:t>
      </w:r>
    </w:p>
    <w:p>
      <w:pPr>
        <w:pStyle w:val="TextBody"/>
        <w:spacing w:before="0" w:after="0"/>
        <w:ind w:left="0" w:right="0" w:firstLine="720"/>
        <w:jc w:val="both"/>
        <w:rPr/>
      </w:pPr>
      <w:r>
        <w:rPr/>
        <w:t>​</w:t>
      </w:r>
    </w:p>
    <w:tbl>
      <w:tblPr>
        <w:tblW w:w="6250" w:type="dxa"/>
        <w:jc w:val="left"/>
        <w:tblInd w:w="0" w:type="dxa"/>
        <w:tblCellMar>
          <w:top w:w="0" w:type="dxa"/>
          <w:left w:w="0" w:type="dxa"/>
          <w:bottom w:w="0" w:type="dxa"/>
          <w:right w:w="0" w:type="dxa"/>
        </w:tblCellMar>
      </w:tblPr>
      <w:tblGrid>
        <w:gridCol w:w="3151"/>
        <w:gridCol w:w="326"/>
        <w:gridCol w:w="211"/>
        <w:gridCol w:w="931"/>
        <w:gridCol w:w="326"/>
        <w:gridCol w:w="220"/>
        <w:gridCol w:w="1085"/>
      </w:tblGrid>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9" name="Frame39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3985" cy="175260"/>
                      <wp:effectExtent l="0" t="0" r="0" b="0"/>
                      <wp:wrapNone/>
                      <wp:docPr id="400" name="Frame400"/>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591185" cy="175260"/>
                      <wp:effectExtent l="0" t="0" r="0" b="0"/>
                      <wp:wrapNone/>
                      <wp:docPr id="401" name="Frame401"/>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207010" cy="175260"/>
                      <wp:effectExtent l="0" t="0" r="0" b="0"/>
                      <wp:wrapNone/>
                      <wp:docPr id="402" name="Frame4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2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39700" cy="175260"/>
                      <wp:effectExtent l="0" t="0" r="0" b="0"/>
                      <wp:wrapNone/>
                      <wp:docPr id="403" name="Frame403"/>
                      <a:graphic xmlns:a="http://schemas.openxmlformats.org/drawingml/2006/main">
                        <a:graphicData uri="http://schemas.microsoft.com/office/word/2010/wordprocessingShape">
                          <wps:wsp>
                            <wps:cNvSpPr txBox="1"/>
                            <wps:spPr>
                              <a:xfrm>
                                <a:off x="0" y="0"/>
                                <a:ext cx="1397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88975" cy="175260"/>
                      <wp:effectExtent l="0" t="0" r="0" b="0"/>
                      <wp:wrapNone/>
                      <wp:docPr id="404" name="Frame404"/>
                      <a:graphic xmlns:a="http://schemas.openxmlformats.org/drawingml/2006/main">
                        <a:graphicData uri="http://schemas.microsoft.com/office/word/2010/wordprocessingShape">
                          <wps:wsp>
                            <wps:cNvSpPr txBox="1"/>
                            <wps:spPr>
                              <a:xfrm>
                                <a:off x="0" y="0"/>
                                <a:ext cx="68897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31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Goodwill and other intangible assets: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w:t>
            </w:r>
          </w:p>
        </w:tc>
        <w:tc>
          <w:tcPr>
            <w:tcW w:w="1085" w:type="dxa"/>
            <w:tcBorders/>
            <w:shd w:fill="CCEEFF" w:val="clear"/>
            <w:vAlign w:val="center"/>
          </w:tcPr>
          <w:p>
            <w:pPr>
              <w:pStyle w:val="TableContents"/>
              <w:spacing w:before="0" w:after="0"/>
              <w:ind w:left="0" w:right="0" w:hanging="0"/>
              <w:jc w:val="right"/>
              <w:rPr/>
            </w:pPr>
            <w:r>
              <w:rPr/>
              <w:t>​</w:t>
            </w:r>
          </w:p>
        </w:tc>
      </w:tr>
      <w:tr>
        <w:trPr/>
        <w:tc>
          <w:tcPr>
            <w:tcW w:w="31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1,427,947</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1,424,212</w:t>
            </w:r>
          </w:p>
        </w:tc>
      </w:tr>
      <w:tr>
        <w:trPr/>
        <w:tc>
          <w:tcPr>
            <w:tcW w:w="31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980,360</w:t>
            </w:r>
          </w:p>
        </w:tc>
        <w:tc>
          <w:tcPr>
            <w:tcW w:w="326" w:type="dxa"/>
            <w:tcBorders/>
            <w:shd w:fill="CCEEFF" w:val="clear"/>
            <w:vAlign w:val="center"/>
          </w:tcPr>
          <w:p>
            <w:pPr>
              <w:pStyle w:val="TableContents"/>
              <w:spacing w:before="0" w:after="0"/>
              <w:ind w:left="0" w:right="0" w:hanging="0"/>
              <w:rPr/>
            </w:pPr>
            <w:r>
              <w:rPr/>
              <w:t>​</w:t>
            </w:r>
          </w:p>
        </w:tc>
        <w:tc>
          <w:tcPr>
            <w:tcW w:w="220" w:type="dxa"/>
            <w:tcBorders/>
            <w:shd w:fill="CCEEFF" w:val="clear"/>
            <w:vAlign w:val="center"/>
          </w:tcPr>
          <w:p>
            <w:pPr>
              <w:pStyle w:val="TableContents"/>
              <w:spacing w:before="0" w:after="0"/>
              <w:ind w:left="0" w:right="0" w:hanging="0"/>
              <w:rPr/>
            </w:pPr>
            <w:r>
              <w:rPr/>
              <w:t> </w:t>
            </w:r>
          </w:p>
        </w:tc>
        <w:tc>
          <w:tcPr>
            <w:tcW w:w="108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979,896</w:t>
            </w:r>
          </w:p>
        </w:tc>
      </w:tr>
      <w:tr>
        <w:trPr/>
        <w:tc>
          <w:tcPr>
            <w:tcW w:w="315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Alcohol Brands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232,232</w:t>
            </w:r>
          </w:p>
        </w:tc>
        <w:tc>
          <w:tcPr>
            <w:tcW w:w="326" w:type="dxa"/>
            <w:tcBorders/>
            <w:shd w:fill="auto" w:val="clear"/>
            <w:vAlign w:val="center"/>
          </w:tcPr>
          <w:p>
            <w:pPr>
              <w:pStyle w:val="TableContents"/>
              <w:spacing w:before="0" w:after="0"/>
              <w:ind w:left="0" w:right="0" w:hanging="0"/>
              <w:rPr/>
            </w:pPr>
            <w:r>
              <w:rPr/>
              <w:t>​</w:t>
            </w:r>
          </w:p>
        </w:tc>
        <w:tc>
          <w:tcPr>
            <w:tcW w:w="220" w:type="dxa"/>
            <w:tcBorders/>
            <w:shd w:fill="auto" w:val="clear"/>
            <w:vAlign w:val="center"/>
          </w:tcPr>
          <w:p>
            <w:pPr>
              <w:pStyle w:val="TableContents"/>
              <w:spacing w:before="0" w:after="0"/>
              <w:ind w:left="0" w:right="0" w:hanging="0"/>
              <w:rPr/>
            </w:pPr>
            <w:r>
              <w:rPr/>
              <w:t>​</w:t>
            </w:r>
          </w:p>
        </w:tc>
        <w:tc>
          <w:tcPr>
            <w:tcW w:w="108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233,140</w:t>
            </w:r>
          </w:p>
        </w:tc>
      </w:tr>
      <w:tr>
        <w:trPr/>
        <w:tc>
          <w:tcPr>
            <w:tcW w:w="315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Other</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20"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85"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1,103</w:t>
            </w:r>
          </w:p>
        </w:tc>
      </w:tr>
      <w:tr>
        <w:trPr/>
        <w:tc>
          <w:tcPr>
            <w:tcW w:w="315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2,640,539</w:t>
            </w:r>
          </w:p>
        </w:tc>
        <w:tc>
          <w:tcPr>
            <w:tcW w:w="326" w:type="dxa"/>
            <w:tcBorders/>
            <w:shd w:fill="auto" w:val="clear"/>
            <w:vAlign w:val="center"/>
          </w:tcPr>
          <w:p>
            <w:pPr>
              <w:pStyle w:val="TableContents"/>
              <w:spacing w:before="0" w:after="0"/>
              <w:ind w:left="0" w:right="0" w:hanging="0"/>
              <w:rPr/>
            </w:pPr>
            <w:r>
              <w:rPr/>
              <w:t>​</w:t>
            </w:r>
          </w:p>
        </w:tc>
        <w:tc>
          <w:tcPr>
            <w:tcW w:w="220"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5"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2,638,351</w:t>
            </w:r>
          </w:p>
        </w:tc>
      </w:tr>
    </w:tbl>
    <w:p>
      <w:pPr>
        <w:pStyle w:val="TextBody"/>
        <w:spacing w:before="0" w:after="0"/>
        <w:ind w:left="0" w:right="0" w:hanging="0"/>
        <w:rPr/>
      </w:pPr>
      <w:r>
        <w:rPr/>
        <w:t>​</w:t>
      </w:r>
    </w:p>
    <w:p>
      <w:pPr>
        <w:pStyle w:val="TextBody"/>
        <w:spacing w:before="0" w:after="0"/>
        <w:ind w:left="0" w:right="0" w:hanging="0"/>
        <w:rPr/>
      </w:pPr>
      <w:r>
        <w:rPr/>
        <w:t>​</w:t>
      </w:r>
    </w:p>
    <w:tbl>
      <w:tblPr>
        <w:tblW w:w="3587" w:type="dxa"/>
        <w:jc w:val="left"/>
        <w:tblInd w:w="0" w:type="dxa"/>
        <w:tblCellMar>
          <w:top w:w="0" w:type="dxa"/>
          <w:left w:w="0" w:type="dxa"/>
          <w:bottom w:w="0" w:type="dxa"/>
          <w:right w:w="0" w:type="dxa"/>
        </w:tblCellMar>
      </w:tblPr>
      <w:tblGrid>
        <w:gridCol w:w="376"/>
        <w:gridCol w:w="3211"/>
      </w:tblGrid>
      <w:tr>
        <w:trPr/>
        <w:tc>
          <w:tcPr>
            <w:tcW w:w="376"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18.</w:t>
            </w:r>
          </w:p>
        </w:tc>
        <w:tc>
          <w:tcPr>
            <w:tcW w:w="3211" w:type="dxa"/>
            <w:tcBorders/>
            <w:shd w:fill="auto" w:val="clear"/>
            <w:vAlign w:val="center"/>
          </w:tcPr>
          <w:p>
            <w:pPr>
              <w:pStyle w:val="TableContents"/>
              <w:spacing w:before="0" w:after="240"/>
              <w:rPr>
                <w:rFonts w:ascii="Times New Roman;Times;serif" w:hAnsi="Times New Roman;Times;serif"/>
                <w:sz w:val="20"/>
              </w:rPr>
            </w:pPr>
            <w:r>
              <w:rPr>
                <w:rFonts w:ascii="Times New Roman;Times;serif" w:hAnsi="Times New Roman;Times;serif"/>
                <w:sz w:val="20"/>
              </w:rPr>
              <w:t>RELATED PARTY TRANSACTIONS</w:t>
            </w:r>
          </w:p>
        </w:tc>
      </w:tr>
    </w:tbl>
    <w:p>
      <w:pPr>
        <w:pStyle w:val="TextBody"/>
        <w:pBdr/>
        <w:spacing w:before="0" w:after="0"/>
        <w:ind w:left="0" w:right="0" w:firstLine="720"/>
        <w:jc w:val="both"/>
        <w:rPr>
          <w:rFonts w:ascii="Times New Roman;Times;serif" w:hAnsi="Times New Roman;Times;serif"/>
          <w:sz w:val="20"/>
        </w:rPr>
      </w:pPr>
      <w:r>
        <w:rPr>
          <w:rFonts w:ascii="Times New Roman;Times;serif" w:hAnsi="Times New Roman;Times;serif"/>
          <w:sz w:val="20"/>
        </w:rPr>
        <w:t>TCCC controls approximately 19.5%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pStyle w:val="TextBody"/>
        <w:shd w:fill="FFFFFF" w:val="clear"/>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the TCCC Subsidiaries and the TCCC Related Parties, were $15.7 million and $18.4 million for the three-months ended March 31, 2023 and 2022, respectively, and are included as a reduction to 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TCCC commissions, based on sales to TCCC independent bottlers/distributors, were $8.8 million and $11.0 million for the three-months ended March 31, 2023 and 2022, respectively, and are included in operating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to the TCCC Subsidiaries for the three-months ended March 31, 2023 and 2022 were $35.1 million and $31.8 million,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spacing w:before="0" w:after="24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MONSTER BEVERAGE CORPORATION AND SUBSIDIARIES</w:t>
      </w:r>
    </w:p>
    <w:p>
      <w:pPr>
        <w:pStyle w:val="TextBody"/>
        <w:spacing w:before="0" w:after="0"/>
        <w:ind w:left="0" w:right="0" w:hanging="0"/>
        <w:rPr>
          <w:rFonts w:ascii="Times New Roman;Times;serif" w:hAnsi="Times New Roman;Times;serif"/>
          <w:b/>
          <w:sz w:val="22"/>
        </w:rPr>
      </w:pPr>
      <w:r>
        <w:rPr>
          <w:rFonts w:ascii="Times New Roman;Times;serif" w:hAnsi="Times New Roman;Times;serif"/>
          <w:b/>
          <w:sz w:val="22"/>
        </w:rPr>
        <w:t>NOTES TO CONDENSED CONSOLIDATED FINANCIAL STATEMENTS</w:t>
      </w:r>
    </w:p>
    <w:p>
      <w:pPr>
        <w:pStyle w:val="TextBody"/>
        <w:pBdr>
          <w:bottom w:val="single" w:sz="12" w:space="1" w:color="000000"/>
        </w:pBdr>
        <w:spacing w:before="0" w:after="0"/>
        <w:ind w:left="0" w:right="0" w:hanging="0"/>
        <w:rPr>
          <w:rFonts w:ascii="Times New Roman;Times;serif" w:hAnsi="Times New Roman;Times;serif"/>
          <w:b/>
          <w:sz w:val="22"/>
        </w:rPr>
      </w:pPr>
      <w:r>
        <w:rPr>
          <w:rFonts w:ascii="Times New Roman;Times;serif" w:hAnsi="Times New Roman;Times;serif"/>
          <w:b/>
          <w:sz w:val="22"/>
        </w:rPr>
        <w:t>(Tabular Dollars in Thousands, Except Per Share Amounts) (Unaudited)</w:t>
      </w:r>
    </w:p>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bookmarkStart w:id="1694" w:name="Tc_vs5oF21TQUqwxw3KkYlAKA_6_5"/>
      <w:bookmarkStart w:id="1695" w:name="Tc_DZixaoialEC272Mfyydmwg_6_2"/>
      <w:bookmarkStart w:id="1696" w:name="Tc_tA9uisFBl02mJJlV4Usdzw_6_0"/>
      <w:bookmarkStart w:id="1697" w:name="Tc_btaxSGBCcE6k-EpXgLpt9w_5_5"/>
      <w:bookmarkStart w:id="1698" w:name="Tc_4PxwEnyit0S2Y7oVxNbaTg_5_2"/>
      <w:bookmarkStart w:id="1699" w:name="Tc__vx2v8Lm0Eq46olLYzc55A_5_0"/>
      <w:bookmarkStart w:id="1700" w:name="Tc_gSBGuGCUbE6w8x6umfCrVw_4_5"/>
      <w:bookmarkStart w:id="1701" w:name="Tc_oMs9oEMPOE2iiID4p9Vx4Q_4_2"/>
      <w:bookmarkStart w:id="1702" w:name="Tc_EWlVmm5F4UiV87gH4HzYoA_4_0"/>
      <w:bookmarkStart w:id="1703" w:name="Tc_-XnhaCB_D0y1PvO7kONp-w_3_5"/>
      <w:bookmarkStart w:id="1704" w:name="Tc_M3mkvPgOrE-FxJw-07-GxQ_3_2"/>
      <w:bookmarkStart w:id="1705" w:name="Tc_mvTNsjPFnU22gJ27ro1vLQ_3_0"/>
      <w:bookmarkStart w:id="1706" w:name="Tc_hG5C8jyoQUKXcffj5VUBIg_2_5"/>
      <w:bookmarkStart w:id="1707" w:name="Tc_rt2VLn1umkeMVoXs1JtFNw_2_2"/>
      <w:bookmarkStart w:id="1708" w:name="Tc_qCFOrSpylkKgxSFgG5OKGg_1_5"/>
      <w:bookmarkStart w:id="1709" w:name="Tc_wiwQru9aU026PK0y9drJ2Q_1_2"/>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r>
        <w:rPr>
          <w:rFonts w:ascii="Times New Roman;Times;serif" w:hAnsi="Times New Roman;Times;serif"/>
          <w:sz w:val="20"/>
        </w:rPr>
        <w:t>The Company also purchases concentrates from TCCC which are then sold to certain of the Company’s bottlers/distributors. Concentrate purchases from TCCC were $6.5 million and $8.5 million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TCCC Subsidiaries also contract manufacture certain of the Company’s energy drinks. Such contract manufacturing expenses were $7.4 million and $9.2 million for the three-months ended March 31, 2023 and 2022, respectively.</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Accounts receivable, accounts payable, accrued promotional allowances and accrued liabilities related to the TCCC Subsidiaries were as follows at:</w:t>
      </w:r>
    </w:p>
    <w:p>
      <w:pPr>
        <w:pStyle w:val="TextBody"/>
        <w:spacing w:before="0" w:after="0"/>
        <w:ind w:left="0" w:right="0" w:firstLine="720"/>
        <w:jc w:val="both"/>
        <w:rPr/>
      </w:pPr>
      <w:r>
        <w:rPr/>
        <w:t>​</w:t>
      </w:r>
    </w:p>
    <w:tbl>
      <w:tblPr>
        <w:tblW w:w="5755" w:type="dxa"/>
        <w:jc w:val="left"/>
        <w:tblInd w:w="0" w:type="dxa"/>
        <w:tblCellMar>
          <w:top w:w="0" w:type="dxa"/>
          <w:left w:w="0" w:type="dxa"/>
          <w:bottom w:w="0" w:type="dxa"/>
          <w:right w:w="0" w:type="dxa"/>
        </w:tblCellMar>
      </w:tblPr>
      <w:tblGrid>
        <w:gridCol w:w="2791"/>
        <w:gridCol w:w="326"/>
        <w:gridCol w:w="211"/>
        <w:gridCol w:w="796"/>
        <w:gridCol w:w="326"/>
        <w:gridCol w:w="277"/>
        <w:gridCol w:w="1028"/>
      </w:tblGrid>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07010" cy="175260"/>
                      <wp:effectExtent l="0" t="0" r="0" b="0"/>
                      <wp:wrapNone/>
                      <wp:docPr id="405" name="Frame40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133985" cy="175260"/>
                      <wp:effectExtent l="0" t="0" r="0" b="0"/>
                      <wp:wrapNone/>
                      <wp:docPr id="406" name="Frame40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05460" cy="175260"/>
                      <wp:effectExtent l="0" t="0" r="0" b="0"/>
                      <wp:wrapNone/>
                      <wp:docPr id="407" name="Frame40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8" name="Frame4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175895" cy="175260"/>
                      <wp:effectExtent l="0" t="0" r="0" b="0"/>
                      <wp:wrapNone/>
                      <wp:docPr id="409" name="Frame409"/>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52780" cy="175260"/>
                      <wp:effectExtent l="0" t="0" r="0" b="0"/>
                      <wp:wrapNone/>
                      <wp:docPr id="410" name="Frame410"/>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0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December 31, </w:t>
            </w:r>
          </w:p>
        </w:tc>
      </w:tr>
      <w:tr>
        <w:trPr/>
        <w:tc>
          <w:tcPr>
            <w:tcW w:w="27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7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128,697</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88,169</w:t>
            </w:r>
          </w:p>
        </w:tc>
      </w:tr>
      <w:tr>
        <w:trPr/>
        <w:tc>
          <w:tcPr>
            <w:tcW w:w="27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(36,703)</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(35,467)</w:t>
            </w:r>
          </w:p>
        </w:tc>
      </w:tr>
      <w:tr>
        <w:trPr/>
        <w:tc>
          <w:tcPr>
            <w:tcW w:w="279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promotional allowances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(10,833)</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(11,222)</w:t>
            </w:r>
          </w:p>
        </w:tc>
      </w:tr>
      <w:tr>
        <w:trPr/>
        <w:tc>
          <w:tcPr>
            <w:tcW w:w="279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Accrued liabilities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(23,569)</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(14,733)</w:t>
            </w:r>
          </w:p>
        </w:tc>
      </w:tr>
    </w:tbl>
    <w:p>
      <w:pPr>
        <w:pStyle w:val="TextBody"/>
        <w:pBdr/>
        <w:spacing w:before="0" w:after="0"/>
        <w:ind w:left="0" w:right="0" w:hanging="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One director of the Company through certain trusts, and a family member of one director are the principal owners of a company that provides promotional materials to the Company. Expenses incurred with such company in connection with promotional materials purchased during both the three-months ended March 31, 2023 and 2022 was $1.1 million.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2022, the Company occasionally chartered a private aircraft that is indirectly owned by Mr. Rodney C. Sacks, Co-Chief Executive Officer and Chairman of the Board of Directors. On certain occasions, Mr. Sacks was accompanied by guests and other Company personnel when using such aircraft for business travel. During the three-months ended March 31, 2022, the Company incurred costs of $0.08 million, an amount the Company believes is commensurate with market rates for comparable travel. No amounts were incurred by the Company during the three-months ended March 31, 2023.</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December 2018, the Company and a director of the Company entered into a 50-50 partnership that purchased land, and real property thereon, in Kona, Hawaii for the purpose of producing coffee products. This partnership meets the definition of a Variable Interest Entity (“VIE”) for which the Company has determined that it is the primary beneficiary. Therefore, the Company consolidates the VIE in the accompanying condensed consolidated financial statements. The aggregate carrying values of the VIE’s assets and liabilities, after elimination of any intercompany transactions and balances, as well as the results of operations for all periods presented, are not material to the Company’s condensed consolidated financial statements.</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sz w:val="20"/>
        </w:rPr>
      </w:pPr>
      <w:bookmarkStart w:id="1710" w:name="ITEM2MANAGEMENTSDISCUSSIONANDANALYSIS_40"/>
      <w:bookmarkStart w:id="1711" w:name="_761aefe6_3790_4179_95ae_aff32f51fa18"/>
      <w:bookmarkEnd w:id="1710"/>
      <w:bookmarkEnd w:id="1711"/>
      <w:r>
        <w:rPr>
          <w:rFonts w:ascii="Times New Roman;Times;serif" w:hAnsi="Times New Roman;Times;serif"/>
          <w:b/>
          <w:sz w:val="20"/>
        </w:rPr>
        <w:t>ITEM 2.  MANAGEMENT’S DISCUSSION AND ANALYSIS OF FINANCIAL CONDITION AND RESULTS</w:t>
      </w:r>
      <w:r>
        <w:rPr>
          <w:rFonts w:ascii="Times New Roman;Times;serif" w:hAnsi="Times New Roman;Times;serif"/>
          <w:sz w:val="20"/>
        </w:rPr>
        <w:t xml:space="preserve"> </w:t>
      </w:r>
      <w:r>
        <w:rPr>
          <w:rFonts w:ascii="Times New Roman;Times;serif" w:hAnsi="Times New Roman;Times;serif"/>
          <w:b/>
          <w:sz w:val="20"/>
        </w:rPr>
        <w:t>OF OPERATIONS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Our Business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hard seltzers and flavored malt beverages (“FMBs”).</w:t>
      </w:r>
    </w:p>
    <w:p>
      <w:pPr>
        <w:pStyle w:val="TextBody"/>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Split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28, 2023, we announced a two-for-one stock split of our common stock to be effected in the form of a 100% stock dividend (the “Stock Split”). The common stock dividend was issued on March 27, 2023 and our common stock began trading at the split adjusted price on March 28, 2023. Accordingly, all per share amounts, average common stock outstanding, common stock outstanding, common stock repurchased and equity-based compensation presented in this Form 10-Q have been adjusted retroactively, where applicable, to reflect the Stock Split.</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Pricing Actions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implemented a price increase effective September 1, 2022 in the United States and implemented price increases at various times in certain international markets during 2022 and the first quarter of 2023 (the “Pricing Actions”), all of which positively impacted gross profit margins in the first quarter of 2023.</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Profit Margins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third and fourth quarters of 2022 as well as the first quarter of 2023, we experienced an improvement in our gross profit margins on a quarterly sequential basis. Gross profit as a percentage of net sales for the three-months ended March 31, 2023, December 31, 2022 and September 30, 2022 were 52.8%, 51.8% and 51.3%, respectively. This improvement was primarily attributable to (i) Pricing Actions, (ii) a reduction in certain freight-in costs and (iii) decreased aluminum can costs.</w:t>
      </w:r>
    </w:p>
    <w:p>
      <w:pPr>
        <w:pStyle w:val="TextBody"/>
        <w:spacing w:before="0" w:after="24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We develop, market, sell and distribute energy drink beverages and concentrates for energy drink beverages, primarily under the following brand names:</w:t>
      </w:r>
    </w:p>
    <w:p>
      <w:pPr>
        <w:pStyle w:val="TextBody"/>
        <w:spacing w:before="0" w:after="0"/>
        <w:ind w:left="0" w:right="0" w:firstLine="720"/>
        <w:jc w:val="both"/>
        <w:rPr/>
      </w:pPr>
      <w:r>
        <w:rPr/>
        <w:t>​</w:t>
      </w:r>
    </w:p>
    <w:tbl>
      <w:tblPr>
        <w:tblW w:w="6857" w:type="dxa"/>
        <w:jc w:val="left"/>
        <w:tblInd w:w="0" w:type="dxa"/>
        <w:tblCellMar>
          <w:top w:w="0" w:type="dxa"/>
          <w:left w:w="0" w:type="dxa"/>
          <w:bottom w:w="0" w:type="dxa"/>
          <w:right w:w="0" w:type="dxa"/>
        </w:tblCellMar>
      </w:tblPr>
      <w:tblGrid>
        <w:gridCol w:w="3436"/>
        <w:gridCol w:w="3421"/>
      </w:tblGrid>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Energy®</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NOS®</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Energy Ultra®</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Full Throttle®</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Rehab®</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Burn®</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Energy® Nitro</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Mother®</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Java Monster®</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Nalu®</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Punch Monster®</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Ultra Energy®</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Juice Monster®</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Play® and Power Play® (stylized)</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Hydro® Energy Water</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Relentless®</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Hydro® Super Sport</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BPM®</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Super Fuel®</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BU®</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Monster Dragon Tea®</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Gladiator®</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Reign Total Body Fuel®</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Samurai®</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Reign Inferno® Thermogenic Fuel</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Live+®</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Reign Storm®</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Predator®</w:t>
            </w:r>
          </w:p>
        </w:tc>
      </w:tr>
      <w:tr>
        <w:trPr/>
        <w:tc>
          <w:tcPr>
            <w:tcW w:w="3436"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True North®</w:t>
            </w:r>
          </w:p>
        </w:tc>
        <w:tc>
          <w:tcPr>
            <w:tcW w:w="3421" w:type="dxa"/>
            <w:tcBorders/>
            <w:shd w:fill="auto" w:val="clear"/>
            <w:vAlign w:val="center"/>
          </w:tcPr>
          <w:p>
            <w:pPr>
              <w:pStyle w:val="TableContents"/>
              <w:spacing w:before="0" w:after="0"/>
              <w:ind w:left="0" w:right="0" w:hanging="0"/>
              <w:rPr/>
            </w:pPr>
            <w:r>
              <w:rPr/>
              <w:t>●      </w:t>
            </w:r>
            <w:r>
              <w:rPr>
                <w:rFonts w:ascii="Times New Roman;Times;serif" w:hAnsi="Times New Roman;Times;serif"/>
                <w:sz w:val="20"/>
              </w:rPr>
              <w:t>Fury®</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craft beers, FMBs and hard seltzers under a number of brands, including Jai Alai® IPA, Florida Man</w:t>
      </w:r>
      <w:r>
        <w:rPr>
          <w:rFonts w:ascii="Times New Roman;Times;serif" w:hAnsi="Times New Roman;Times;serif"/>
          <w:sz w:val="15"/>
        </w:rPr>
        <w:t>TM</w:t>
      </w:r>
      <w:r>
        <w:rPr>
          <w:rFonts w:ascii="Times New Roman;Times;serif" w:hAnsi="Times New Roman;Times;serif"/>
          <w:sz w:val="20"/>
        </w:rPr>
        <w:t xml:space="preserve"> IPA, Dale’s Pale Ale®, Wild Basin</w:t>
      </w:r>
      <w:r>
        <w:rPr>
          <w:rFonts w:ascii="Times New Roman;Times;serif" w:hAnsi="Times New Roman;Times;serif"/>
          <w:sz w:val="15"/>
        </w:rPr>
        <w:t>TM</w:t>
      </w:r>
      <w:r>
        <w:rPr>
          <w:rFonts w:ascii="Times New Roman;Times;serif" w:hAnsi="Times New Roman;Times;serif"/>
          <w:sz w:val="20"/>
        </w:rPr>
        <w:t xml:space="preserve"> Hard Seltzers, Dallas Blonde®, Deep Ellum</w:t>
      </w:r>
      <w:r>
        <w:rPr>
          <w:rFonts w:ascii="Times New Roman;Times;serif" w:hAnsi="Times New Roman;Times;serif"/>
          <w:sz w:val="15"/>
        </w:rPr>
        <w:t>TM</w:t>
      </w:r>
      <w:r>
        <w:rPr>
          <w:rFonts w:ascii="Times New Roman;Times;serif" w:hAnsi="Times New Roman;Times;serif"/>
          <w:sz w:val="20"/>
        </w:rPr>
        <w:t xml:space="preserve"> IPA, Perrin Brewing Company</w:t>
      </w:r>
      <w:r>
        <w:rPr>
          <w:rFonts w:ascii="Times New Roman;Times;serif" w:hAnsi="Times New Roman;Times;serif"/>
          <w:sz w:val="15"/>
        </w:rPr>
        <w:t>TM</w:t>
      </w:r>
      <w:r>
        <w:rPr>
          <w:rFonts w:ascii="Times New Roman;Times;serif" w:hAnsi="Times New Roman;Times;serif"/>
          <w:sz w:val="20"/>
        </w:rPr>
        <w:t xml:space="preserve"> Black Ale, Hop Rising® Double IPA, Wasatch® Apricot Hefeweizen, The Beast Unleashed</w:t>
      </w:r>
      <w:r>
        <w:rPr>
          <w:rFonts w:ascii="Times New Roman;Times;serif" w:hAnsi="Times New Roman;Times;serif"/>
          <w:sz w:val="15"/>
        </w:rPr>
        <w:t>TM</w:t>
      </w:r>
      <w:r>
        <w:rPr>
          <w:rFonts w:ascii="Times New Roman;Times;serif" w:hAnsi="Times New Roman;Times;serif"/>
          <w:sz w:val="20"/>
        </w:rPr>
        <w:t xml:space="preserve"> and a host of other brands.</w:t>
      </w:r>
    </w:p>
    <w:p>
      <w:pPr>
        <w:pStyle w:val="TextBody"/>
        <w:spacing w:before="0" w:after="0"/>
        <w:ind w:left="0" w:right="0" w:hanging="0"/>
        <w:rPr/>
      </w:pPr>
      <w:r>
        <w:rPr/>
        <w:t>​</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develop, market, sell and distribute still and sparkling waters under the Monster® Tour Water</w:t>
      </w:r>
      <w:r>
        <w:rPr>
          <w:rFonts w:ascii="Times New Roman;Times;serif" w:hAnsi="Times New Roman;Times;serif"/>
          <w:sz w:val="15"/>
        </w:rPr>
        <w:t>TM</w:t>
      </w:r>
      <w:r>
        <w:rPr>
          <w:rFonts w:ascii="Times New Roman;Times;serif" w:hAnsi="Times New Roman;Times;serif"/>
          <w:sz w:val="20"/>
        </w:rPr>
        <w:t xml:space="preserve"> brand name.</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have four operating and reportable segments: (i) Monster Energy® Drinks segment (“Monster Energy® Drinks”), which is primarily comprised of our Monster Energy® drinks, Reign Total Body Fuel® high performance energy drinks, Monster</w:t>
      </w:r>
      <w:r>
        <w:rPr>
          <w:rFonts w:ascii="Times New Roman;Times;serif" w:hAnsi="Times New Roman;Times;serif"/>
          <w:i/>
          <w:sz w:val="20"/>
        </w:rPr>
        <w:t>®</w:t>
      </w:r>
      <w:r>
        <w:rPr>
          <w:rFonts w:ascii="Times New Roman;Times;serif" w:hAnsi="Times New Roman;Times;serif"/>
          <w:sz w:val="20"/>
        </w:rPr>
        <w:t xml:space="preserve"> Tour Water</w:t>
      </w:r>
      <w:r>
        <w:rPr>
          <w:rFonts w:ascii="Times New Roman;Times;serif" w:hAnsi="Times New Roman;Times;serif"/>
          <w:sz w:val="15"/>
        </w:rPr>
        <w:t>TM</w:t>
      </w:r>
      <w:r>
        <w:rPr>
          <w:rFonts w:ascii="Times New Roman;Times;serif" w:hAnsi="Times New Roman;Times;serif"/>
          <w:sz w:val="20"/>
        </w:rPr>
        <w:t xml:space="preserve"> and Reign Storm® total wellness energy drinks, (ii) Strategic Brands segment (“Strategic Brands”), which is primarily comprised of the various energy drink brands acquired from The Coca-Cola Company (“TCCC”) in 2015 as well as our affordable energy brands, (iii) Alcohol Brands segment (“Alcohol Brands”), which is primarily comprised of the various craft beers and hard seltzers purchased as part of our acquisition of CANarchy Craft Brewery Collective LLC (“CANarchy”) on February 17, 2022 (the “CANarchy Transaction”) as well as The Beast Unleashed</w:t>
      </w:r>
      <w:r>
        <w:rPr>
          <w:rFonts w:ascii="Times New Roman;Times;serif" w:hAnsi="Times New Roman;Times;serif"/>
          <w:sz w:val="15"/>
        </w:rPr>
        <w:t>TM</w:t>
      </w:r>
      <w:r>
        <w:rPr>
          <w:rFonts w:ascii="Times New Roman;Times;serif" w:hAnsi="Times New Roman;Times;serif"/>
          <w:sz w:val="20"/>
        </w:rPr>
        <w:t xml:space="preserve"> FMBs and (iv) Other segment (“Other”), which is comprised of certain products sold by American Fruits and Flavors LLC (“AFF”), a wholly-owned subsidiary of the Company, to independent third-party customers (the “AFF Third-Party Products”).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2023, we continued to expand our existing drink portfolio by adding additional products to our portfolio in a number of countries and further developed our distribution markets. During the three-months ended March 31, 2023, we sold the following new products to our customers:</w:t>
      </w:r>
    </w:p>
    <w:tbl>
      <w:tblPr>
        <w:tblW w:w="3051" w:type="dxa"/>
        <w:jc w:val="left"/>
        <w:tblInd w:w="0" w:type="dxa"/>
        <w:tblCellMar>
          <w:top w:w="28" w:type="dxa"/>
          <w:left w:w="28" w:type="dxa"/>
          <w:bottom w:w="28" w:type="dxa"/>
          <w:right w:w="28" w:type="dxa"/>
        </w:tblCellMar>
      </w:tblPr>
      <w:tblGrid>
        <w:gridCol w:w="124"/>
        <w:gridCol w:w="256"/>
        <w:gridCol w:w="2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Burn® Watermelon Zero Sugar</w:t>
            </w:r>
          </w:p>
        </w:tc>
      </w:tr>
    </w:tbl>
    <w:tbl>
      <w:tblPr>
        <w:tblW w:w="2646" w:type="dxa"/>
        <w:jc w:val="left"/>
        <w:tblInd w:w="0" w:type="dxa"/>
        <w:tblCellMar>
          <w:top w:w="28" w:type="dxa"/>
          <w:left w:w="28" w:type="dxa"/>
          <w:bottom w:w="28" w:type="dxa"/>
          <w:right w:w="28" w:type="dxa"/>
        </w:tblCellMar>
      </w:tblPr>
      <w:tblGrid>
        <w:gridCol w:w="124"/>
        <w:gridCol w:w="256"/>
        <w:gridCol w:w="22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Java Monster® Café Latte</w:t>
            </w:r>
          </w:p>
        </w:tc>
      </w:tr>
    </w:tbl>
    <w:tbl>
      <w:tblPr>
        <w:tblW w:w="3861" w:type="dxa"/>
        <w:jc w:val="left"/>
        <w:tblInd w:w="0" w:type="dxa"/>
        <w:tblCellMar>
          <w:top w:w="28" w:type="dxa"/>
          <w:left w:w="28" w:type="dxa"/>
          <w:bottom w:w="28" w:type="dxa"/>
          <w:right w:w="28" w:type="dxa"/>
        </w:tblCellMar>
      </w:tblPr>
      <w:tblGrid>
        <w:gridCol w:w="124"/>
        <w:gridCol w:w="256"/>
        <w:gridCol w:w="3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8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Monster Energy® Nitro Cosmic Peach</w:t>
            </w:r>
            <w:r>
              <w:rPr>
                <w:rFonts w:ascii="Times New Roman;Times;serif" w:hAnsi="Times New Roman;Times;serif"/>
                <w:b w:val="false"/>
                <w:i w:val="false"/>
                <w:caps w:val="false"/>
                <w:smallCaps w:val="false"/>
                <w:sz w:val="15"/>
              </w:rPr>
              <w:t>TM</w:t>
            </w:r>
          </w:p>
        </w:tc>
      </w:tr>
    </w:tbl>
    <w:tbl>
      <w:tblPr>
        <w:tblW w:w="4221" w:type="dxa"/>
        <w:jc w:val="left"/>
        <w:tblInd w:w="0" w:type="dxa"/>
        <w:tblCellMar>
          <w:top w:w="28" w:type="dxa"/>
          <w:left w:w="28" w:type="dxa"/>
          <w:bottom w:w="28" w:type="dxa"/>
          <w:right w:w="28" w:type="dxa"/>
        </w:tblCellMar>
      </w:tblPr>
      <w:tblGrid>
        <w:gridCol w:w="124"/>
        <w:gridCol w:w="256"/>
        <w:gridCol w:w="3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84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Monster Energy® Ultra Strawberry Dreams</w:t>
            </w:r>
            <w:r>
              <w:rPr>
                <w:rFonts w:ascii="Times New Roman;Times;serif" w:hAnsi="Times New Roman;Times;serif"/>
                <w:b w:val="false"/>
                <w:i w:val="false"/>
                <w:caps w:val="false"/>
                <w:smallCaps w:val="false"/>
                <w:sz w:val="15"/>
              </w:rPr>
              <w:t>TM</w:t>
            </w:r>
          </w:p>
        </w:tc>
      </w:tr>
    </w:tbl>
    <w:tbl>
      <w:tblPr>
        <w:tblW w:w="2916" w:type="dxa"/>
        <w:jc w:val="left"/>
        <w:tblInd w:w="0" w:type="dxa"/>
        <w:tblCellMar>
          <w:top w:w="28" w:type="dxa"/>
          <w:left w:w="28" w:type="dxa"/>
          <w:bottom w:w="28" w:type="dxa"/>
          <w:right w:w="28" w:type="dxa"/>
        </w:tblCellMar>
      </w:tblPr>
      <w:tblGrid>
        <w:gridCol w:w="124"/>
        <w:gridCol w:w="256"/>
        <w:gridCol w:w="25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Energy® Zero Sugar</w:t>
            </w:r>
          </w:p>
        </w:tc>
      </w:tr>
    </w:tbl>
    <w:tbl>
      <w:tblPr>
        <w:tblW w:w="3396" w:type="dxa"/>
        <w:jc w:val="left"/>
        <w:tblInd w:w="0" w:type="dxa"/>
        <w:tblCellMar>
          <w:top w:w="28" w:type="dxa"/>
          <w:left w:w="28" w:type="dxa"/>
          <w:bottom w:w="28" w:type="dxa"/>
          <w:right w:w="28" w:type="dxa"/>
        </w:tblCellMar>
      </w:tblPr>
      <w:tblGrid>
        <w:gridCol w:w="124"/>
        <w:gridCol w:w="256"/>
        <w:gridCol w:w="30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0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Monster® Reserve Kiwi Strawberry</w:t>
            </w:r>
          </w:p>
        </w:tc>
      </w:tr>
    </w:tbl>
    <w:tbl>
      <w:tblPr>
        <w:tblW w:w="3981" w:type="dxa"/>
        <w:jc w:val="left"/>
        <w:tblInd w:w="0" w:type="dxa"/>
        <w:tblCellMar>
          <w:top w:w="28" w:type="dxa"/>
          <w:left w:w="28" w:type="dxa"/>
          <w:bottom w:w="28" w:type="dxa"/>
          <w:right w:w="28" w:type="dxa"/>
        </w:tblCellMar>
      </w:tblPr>
      <w:tblGrid>
        <w:gridCol w:w="124"/>
        <w:gridCol w:w="256"/>
        <w:gridCol w:w="36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60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Monster® Tour Water</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Deep Well Water</w:t>
            </w:r>
          </w:p>
        </w:tc>
      </w:tr>
    </w:tbl>
    <w:tbl>
      <w:tblPr>
        <w:tblW w:w="4821" w:type="dxa"/>
        <w:jc w:val="left"/>
        <w:tblInd w:w="0" w:type="dxa"/>
        <w:tblCellMar>
          <w:top w:w="28" w:type="dxa"/>
          <w:left w:w="28" w:type="dxa"/>
          <w:bottom w:w="28" w:type="dxa"/>
          <w:right w:w="28" w:type="dxa"/>
        </w:tblCellMar>
      </w:tblPr>
      <w:tblGrid>
        <w:gridCol w:w="124"/>
        <w:gridCol w:w="256"/>
        <w:gridCol w:w="44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444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Monster® Tour Water</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Sparkling Deep Well Water</w:t>
            </w:r>
          </w:p>
        </w:tc>
      </w:tr>
    </w:tbl>
    <w:tbl>
      <w:tblPr>
        <w:tblW w:w="2436" w:type="dxa"/>
        <w:jc w:val="left"/>
        <w:tblInd w:w="0" w:type="dxa"/>
        <w:tblCellMar>
          <w:top w:w="28" w:type="dxa"/>
          <w:left w:w="28" w:type="dxa"/>
          <w:bottom w:w="28" w:type="dxa"/>
          <w:right w:w="28" w:type="dxa"/>
        </w:tblCellMar>
      </w:tblPr>
      <w:tblGrid>
        <w:gridCol w:w="124"/>
        <w:gridCol w:w="256"/>
        <w:gridCol w:w="20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0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 Cassis Lavender</w:t>
            </w:r>
          </w:p>
        </w:tc>
      </w:tr>
    </w:tbl>
    <w:tbl>
      <w:tblPr>
        <w:tblW w:w="2736" w:type="dxa"/>
        <w:jc w:val="left"/>
        <w:tblInd w:w="0" w:type="dxa"/>
        <w:tblCellMar>
          <w:top w:w="28" w:type="dxa"/>
          <w:left w:w="28" w:type="dxa"/>
          <w:bottom w:w="28" w:type="dxa"/>
          <w:right w:w="28" w:type="dxa"/>
        </w:tblCellMar>
      </w:tblPr>
      <w:tblGrid>
        <w:gridCol w:w="124"/>
        <w:gridCol w:w="256"/>
        <w:gridCol w:w="2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Nalu® Strawberry Rhubarb</w:t>
            </w:r>
          </w:p>
        </w:tc>
      </w:tr>
    </w:tbl>
    <w:tbl>
      <w:tblPr>
        <w:tblW w:w="3366" w:type="dxa"/>
        <w:jc w:val="left"/>
        <w:tblInd w:w="0" w:type="dxa"/>
        <w:tblCellMar>
          <w:top w:w="28" w:type="dxa"/>
          <w:left w:w="28" w:type="dxa"/>
          <w:bottom w:w="28" w:type="dxa"/>
          <w:right w:w="28" w:type="dxa"/>
        </w:tblCellMar>
      </w:tblPr>
      <w:tblGrid>
        <w:gridCol w:w="124"/>
        <w:gridCol w:w="256"/>
        <w:gridCol w:w="298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98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Rehab® Monster® Wild Berry Tea</w:t>
            </w:r>
          </w:p>
        </w:tc>
      </w:tr>
    </w:tbl>
    <w:tbl>
      <w:tblPr>
        <w:tblW w:w="2886" w:type="dxa"/>
        <w:jc w:val="left"/>
        <w:tblInd w:w="0" w:type="dxa"/>
        <w:tblCellMar>
          <w:top w:w="28" w:type="dxa"/>
          <w:left w:w="28" w:type="dxa"/>
          <w:bottom w:w="28" w:type="dxa"/>
          <w:right w:w="28" w:type="dxa"/>
        </w:tblCellMar>
      </w:tblPr>
      <w:tblGrid>
        <w:gridCol w:w="124"/>
        <w:gridCol w:w="256"/>
        <w:gridCol w:w="25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5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Harvest Grape</w:t>
            </w:r>
          </w:p>
        </w:tc>
      </w:tr>
    </w:tbl>
    <w:tbl>
      <w:tblPr>
        <w:tblW w:w="2676" w:type="dxa"/>
        <w:jc w:val="left"/>
        <w:tblInd w:w="0" w:type="dxa"/>
        <w:tblCellMar>
          <w:top w:w="28" w:type="dxa"/>
          <w:left w:w="28" w:type="dxa"/>
          <w:bottom w:w="28" w:type="dxa"/>
          <w:right w:w="28" w:type="dxa"/>
        </w:tblCellMar>
      </w:tblPr>
      <w:tblGrid>
        <w:gridCol w:w="124"/>
        <w:gridCol w:w="256"/>
        <w:gridCol w:w="2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Kiwi Blend</w:t>
            </w:r>
          </w:p>
        </w:tc>
      </w:tr>
    </w:tbl>
    <w:tbl>
      <w:tblPr>
        <w:tblW w:w="3051" w:type="dxa"/>
        <w:jc w:val="left"/>
        <w:tblInd w:w="0" w:type="dxa"/>
        <w:tblCellMar>
          <w:top w:w="28" w:type="dxa"/>
          <w:left w:w="28" w:type="dxa"/>
          <w:bottom w:w="28" w:type="dxa"/>
          <w:right w:w="28" w:type="dxa"/>
        </w:tblCellMar>
      </w:tblPr>
      <w:tblGrid>
        <w:gridCol w:w="124"/>
        <w:gridCol w:w="256"/>
        <w:gridCol w:w="26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6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Peach Nectarine</w:t>
            </w:r>
          </w:p>
        </w:tc>
      </w:tr>
    </w:tbl>
    <w:tbl>
      <w:tblPr>
        <w:tblW w:w="3096" w:type="dxa"/>
        <w:jc w:val="left"/>
        <w:tblInd w:w="0" w:type="dxa"/>
        <w:tblCellMar>
          <w:top w:w="28" w:type="dxa"/>
          <w:left w:w="28" w:type="dxa"/>
          <w:bottom w:w="28" w:type="dxa"/>
          <w:right w:w="28" w:type="dxa"/>
        </w:tblCellMar>
      </w:tblPr>
      <w:tblGrid>
        <w:gridCol w:w="124"/>
        <w:gridCol w:w="256"/>
        <w:gridCol w:w="27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7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Reign Storm® Valencia Orange</w:t>
            </w:r>
          </w:p>
        </w:tc>
      </w:tr>
    </w:tbl>
    <w:tbl>
      <w:tblPr>
        <w:tblW w:w="3486" w:type="dxa"/>
        <w:jc w:val="left"/>
        <w:tblInd w:w="0" w:type="dxa"/>
        <w:tblCellMar>
          <w:top w:w="28" w:type="dxa"/>
          <w:left w:w="28" w:type="dxa"/>
          <w:bottom w:w="28" w:type="dxa"/>
          <w:right w:w="28" w:type="dxa"/>
        </w:tblCellMar>
      </w:tblPr>
      <w:tblGrid>
        <w:gridCol w:w="124"/>
        <w:gridCol w:w="256"/>
        <w:gridCol w:w="310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10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Relentless® Watermelon Zero Sugar</w:t>
            </w:r>
          </w:p>
        </w:tc>
      </w:tr>
    </w:tbl>
    <w:tbl>
      <w:tblPr>
        <w:tblW w:w="3741" w:type="dxa"/>
        <w:jc w:val="left"/>
        <w:tblInd w:w="0" w:type="dxa"/>
        <w:tblCellMar>
          <w:top w:w="28" w:type="dxa"/>
          <w:left w:w="28" w:type="dxa"/>
          <w:bottom w:w="28" w:type="dxa"/>
          <w:right w:w="28" w:type="dxa"/>
        </w:tblCellMar>
      </w:tblPr>
      <w:tblGrid>
        <w:gridCol w:w="124"/>
        <w:gridCol w:w="256"/>
        <w:gridCol w:w="3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6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The Beast Unleashed</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Mean Green</w:t>
            </w:r>
            <w:r>
              <w:rPr>
                <w:rFonts w:ascii="Times New Roman;Times;serif" w:hAnsi="Times New Roman;Times;serif"/>
                <w:b w:val="false"/>
                <w:i w:val="false"/>
                <w:caps w:val="false"/>
                <w:smallCaps w:val="false"/>
                <w:sz w:val="15"/>
              </w:rPr>
              <w:t>TM</w:t>
            </w:r>
          </w:p>
        </w:tc>
      </w:tr>
    </w:tbl>
    <w:tbl>
      <w:tblPr>
        <w:tblW w:w="3831" w:type="dxa"/>
        <w:jc w:val="left"/>
        <w:tblInd w:w="0" w:type="dxa"/>
        <w:tblCellMar>
          <w:top w:w="28" w:type="dxa"/>
          <w:left w:w="28" w:type="dxa"/>
          <w:bottom w:w="28" w:type="dxa"/>
          <w:right w:w="28" w:type="dxa"/>
        </w:tblCellMar>
      </w:tblPr>
      <w:tblGrid>
        <w:gridCol w:w="124"/>
        <w:gridCol w:w="256"/>
        <w:gridCol w:w="34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51"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The Beast Unleashed</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Peach Perfect</w:t>
            </w:r>
            <w:r>
              <w:rPr>
                <w:rFonts w:ascii="Times New Roman;Times;serif" w:hAnsi="Times New Roman;Times;serif"/>
                <w:b w:val="false"/>
                <w:i w:val="false"/>
                <w:caps w:val="false"/>
                <w:smallCaps w:val="false"/>
                <w:sz w:val="15"/>
              </w:rPr>
              <w:t>TM</w:t>
            </w:r>
          </w:p>
        </w:tc>
      </w:tr>
    </w:tbl>
    <w:tbl>
      <w:tblPr>
        <w:tblW w:w="3816" w:type="dxa"/>
        <w:jc w:val="left"/>
        <w:tblInd w:w="0" w:type="dxa"/>
        <w:tblCellMar>
          <w:top w:w="28" w:type="dxa"/>
          <w:left w:w="28" w:type="dxa"/>
          <w:bottom w:w="28" w:type="dxa"/>
          <w:right w:w="28" w:type="dxa"/>
        </w:tblCellMar>
      </w:tblPr>
      <w:tblGrid>
        <w:gridCol w:w="124"/>
        <w:gridCol w:w="256"/>
        <w:gridCol w:w="34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436"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The Beast Unleashed</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Scary Berries</w:t>
            </w:r>
            <w:r>
              <w:rPr>
                <w:rFonts w:ascii="Times New Roman;Times;serif" w:hAnsi="Times New Roman;Times;serif"/>
                <w:b w:val="false"/>
                <w:i w:val="false"/>
                <w:caps w:val="false"/>
                <w:smallCaps w:val="false"/>
                <w:sz w:val="15"/>
              </w:rPr>
              <w:t>TM</w:t>
            </w:r>
          </w:p>
        </w:tc>
      </w:tr>
    </w:tbl>
    <w:tbl>
      <w:tblPr>
        <w:tblW w:w="3696" w:type="dxa"/>
        <w:jc w:val="left"/>
        <w:tblInd w:w="0" w:type="dxa"/>
        <w:tblCellMar>
          <w:top w:w="28" w:type="dxa"/>
          <w:left w:w="28" w:type="dxa"/>
          <w:bottom w:w="28" w:type="dxa"/>
          <w:right w:w="28" w:type="dxa"/>
        </w:tblCellMar>
      </w:tblPr>
      <w:tblGrid>
        <w:gridCol w:w="124"/>
        <w:gridCol w:w="256"/>
        <w:gridCol w:w="3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316" w:type="dxa"/>
            <w:tcBorders/>
            <w:shd w:fill="auto" w:val="clear"/>
            <w:tcMar>
              <w:top w:w="0" w:type="dxa"/>
              <w:left w:w="0" w:type="dxa"/>
              <w:bottom w:w="0" w:type="dxa"/>
              <w:right w:w="0" w:type="dxa"/>
            </w:tcMar>
            <w:vAlign w:val="center"/>
          </w:tcPr>
          <w:p>
            <w:pPr>
              <w:pStyle w:val="TableContents"/>
              <w:spacing w:lineRule="auto" w:line="240" w:before="0" w:after="283"/>
              <w:rPr/>
            </w:pPr>
            <w:r>
              <w:rPr>
                <w:rFonts w:ascii="Times New Roman;Times;serif" w:hAnsi="Times New Roman;Times;serif"/>
                <w:b w:val="false"/>
                <w:i w:val="false"/>
                <w:caps w:val="false"/>
                <w:smallCaps w:val="false"/>
                <w:sz w:val="20"/>
              </w:rPr>
              <w:t>The Beast Unleashed</w:t>
            </w:r>
            <w:r>
              <w:rPr>
                <w:rFonts w:ascii="Times New Roman;Times;serif" w:hAnsi="Times New Roman;Times;serif"/>
                <w:b w:val="false"/>
                <w:i w:val="false"/>
                <w:caps w:val="false"/>
                <w:smallCaps w:val="false"/>
                <w:sz w:val="15"/>
              </w:rPr>
              <w:t>TM</w:t>
            </w:r>
            <w:r>
              <w:rPr>
                <w:caps w:val="false"/>
                <w:smallCaps w:val="false"/>
              </w:rPr>
              <w:t xml:space="preserve"> </w:t>
            </w:r>
            <w:r>
              <w:rPr>
                <w:rFonts w:ascii="Times New Roman;Times;serif" w:hAnsi="Times New Roman;Times;serif"/>
                <w:b w:val="false"/>
                <w:i w:val="false"/>
                <w:caps w:val="false"/>
                <w:smallCaps w:val="false"/>
                <w:sz w:val="20"/>
              </w:rPr>
              <w:t>White Haze</w:t>
            </w:r>
            <w:r>
              <w:rPr>
                <w:rFonts w:ascii="Times New Roman;Times;serif" w:hAnsi="Times New Roman;Times;serif"/>
                <w:b w:val="false"/>
                <w:i w:val="false"/>
                <w:caps w:val="false"/>
                <w:smallCaps w:val="false"/>
                <w:sz w:val="15"/>
              </w:rPr>
              <w:t>TM</w:t>
            </w:r>
          </w:p>
        </w:tc>
      </w:tr>
    </w:tbl>
    <w:tbl>
      <w:tblPr>
        <w:tblW w:w="2781" w:type="dxa"/>
        <w:jc w:val="left"/>
        <w:tblInd w:w="0" w:type="dxa"/>
        <w:tblCellMar>
          <w:top w:w="28" w:type="dxa"/>
          <w:left w:w="28" w:type="dxa"/>
          <w:bottom w:w="28" w:type="dxa"/>
          <w:right w:w="28" w:type="dxa"/>
        </w:tblCellMar>
      </w:tblPr>
      <w:tblGrid>
        <w:gridCol w:w="124"/>
        <w:gridCol w:w="256"/>
        <w:gridCol w:w="240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40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Ultra Energy® Citrus Peach</w:t>
            </w:r>
          </w:p>
        </w:tc>
      </w:tr>
    </w:tbl>
    <w:p>
      <w:pPr>
        <w:pStyle w:val="TextBody"/>
        <w:spacing w:before="0" w:after="0"/>
        <w:ind w:left="720" w:right="0" w:hanging="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the normal course of business, we discontinue certain products and/or product lines. Those products or product lines discontinued in the three-months ended March 31, 2023, either individually or in aggregate, did not have a material adverse impact on our financial position, results of operations or liquidity.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net sales of $1.70 billion for the three-months ended March 31, 2023 represented record sales for our first fiscal quarter. Net changes in foreign currency exchange rates had an unfavorable impact on net sales of approximately $52.0 million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vast majority of our net sales are derived from our Monster Energy® Drinks segment. Net sales of our Monster Energy® Drinks segment were $1.56 billion for the three-months ended March 31, 2023.  Net sales of our Strategic Brands segment were $86.4 million for the three-months ended March 31, 2023. Net sales of our Alcohol Brands segment were $46.3 million for the three-months ended March 31, 2023. Net sales of our Other segment were $4.6 million for the three-months ended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Monster Energy® Drinks segment represented 91.9% and 92.5% of our net sales for the three-months ended March 31, 2023 and 2022, respectively. Our Strategic Brands segment represented 5.1% and 6.1% of our net sales for the three-months ended March 31, 2023 and 2022, respectively. Our Alcohol Brands Segment represented 2.7% and 1.0% of our net sales for the three-months ended March 31, 2023 and 2022, respectively. Our Other segment represented 0.3% and 0.4% of our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strategy includes further developing our domestic markets, expanding our international business and growing our business into new sectors, such as the alcohol beverage sector. Net sales to customers outside the United States were $622.9 million for the three-months ended March 31, 2023, an increase of approximately $69.5 million, or 12.6% higher than net sales to customers outside of the United States of $553.4 million for the three-months ended March 31, 2022. Such sales were approximately 37% and 36% of net sales for the three-months ended March 31, 2023 and 2022, respectively. Net changes in foreign currency exchange rates had an unfavorable impact on net sales to customers outside of the United States of approximately $52.0 million for the three-months ended March 31, 2023. Net sales to customers outside the United States, on a foreign currency adjusted basis, increased 21.9% for the three-months ended March 31, 2023.</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Our non-alcohol customers are primarily full service beverage bottlers/distributors, retail grocery and specialty chains, wholesalers, club stores, mass merchandisers, convenience and gas chains, foodservice customers, value stores, e-commerce retailers and the military. Our alcohol customers are primarily beer distributors who in turn sell to retailers within the alcohol distribution system. Percentages of our gross billings to our various customer types for the three-months ended March 31, 2023 and 2022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pStyle w:val="TextBody"/>
        <w:spacing w:before="0" w:after="0"/>
        <w:ind w:left="0" w:right="0" w:firstLine="720"/>
        <w:jc w:val="both"/>
        <w:rPr/>
      </w:pPr>
      <w:r>
        <w:rPr/>
        <w:t>​</w:t>
      </w:r>
    </w:p>
    <w:tbl>
      <w:tblPr>
        <w:tblW w:w="8167" w:type="dxa"/>
        <w:jc w:val="left"/>
        <w:tblInd w:w="0" w:type="dxa"/>
        <w:tblCellMar>
          <w:top w:w="0" w:type="dxa"/>
          <w:left w:w="0" w:type="dxa"/>
          <w:bottom w:w="0" w:type="dxa"/>
          <w:right w:w="0" w:type="dxa"/>
        </w:tblCellMar>
      </w:tblPr>
      <w:tblGrid>
        <w:gridCol w:w="5641"/>
        <w:gridCol w:w="326"/>
        <w:gridCol w:w="681"/>
        <w:gridCol w:w="467"/>
        <w:gridCol w:w="681"/>
        <w:gridCol w:w="371"/>
      </w:tblGrid>
      <w:tr>
        <w:trPr/>
        <w:tc>
          <w:tcPr>
            <w:tcW w:w="564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3582035" cy="175260"/>
                      <wp:effectExtent l="0" t="0" r="0" b="0"/>
                      <wp:wrapNone/>
                      <wp:docPr id="411" name="Frame411"/>
                      <a:graphic xmlns:a="http://schemas.openxmlformats.org/drawingml/2006/main">
                        <a:graphicData uri="http://schemas.microsoft.com/office/word/2010/wordprocessingShape">
                          <wps:wsp>
                            <wps:cNvSpPr txBox="1"/>
                            <wps:spPr>
                              <a:xfrm>
                                <a:off x="0" y="0"/>
                                <a:ext cx="35820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07010" cy="175260"/>
                      <wp:effectExtent l="0" t="0" r="0" b="0"/>
                      <wp:wrapNone/>
                      <wp:docPr id="412" name="Frame41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432435" cy="175260"/>
                      <wp:effectExtent l="0" t="0" r="0" b="0"/>
                      <wp:wrapNone/>
                      <wp:docPr id="413" name="Frame413"/>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6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296545" cy="175260"/>
                      <wp:effectExtent l="0" t="0" r="0" b="0"/>
                      <wp:wrapNone/>
                      <wp:docPr id="414" name="Frame414"/>
                      <a:graphic xmlns:a="http://schemas.openxmlformats.org/drawingml/2006/main">
                        <a:graphicData uri="http://schemas.microsoft.com/office/word/2010/wordprocessingShape">
                          <wps:wsp>
                            <wps:cNvSpPr txBox="1"/>
                            <wps:spPr>
                              <a:xfrm>
                                <a:off x="0" y="0"/>
                                <a:ext cx="29654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32435" cy="175260"/>
                      <wp:effectExtent l="0" t="0" r="0" b="0"/>
                      <wp:wrapNone/>
                      <wp:docPr id="415" name="Frame415"/>
                      <a:graphic xmlns:a="http://schemas.openxmlformats.org/drawingml/2006/main">
                        <a:graphicData uri="http://schemas.microsoft.com/office/word/2010/wordprocessingShape">
                          <wps:wsp>
                            <wps:cNvSpPr txBox="1"/>
                            <wps:spPr>
                              <a:xfrm>
                                <a:off x="0" y="0"/>
                                <a:ext cx="4324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35585" cy="175260"/>
                      <wp:effectExtent l="0" t="0" r="0" b="0"/>
                      <wp:wrapNone/>
                      <wp:docPr id="416" name="Frame416"/>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29" w:type="dxa"/>
            <w:gridSpan w:val="3"/>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71" w:type="dxa"/>
            <w:tcBorders/>
            <w:shd w:fill="auto" w:val="clear"/>
            <w:vAlign w:val="center"/>
          </w:tcPr>
          <w:p>
            <w:pPr>
              <w:pStyle w:val="TableContents"/>
              <w:spacing w:before="0" w:after="0"/>
              <w:ind w:left="0" w:right="0" w:hanging="0"/>
              <w:rPr/>
            </w:pPr>
            <w:r>
              <w:rPr/>
              <w:t>​</w:t>
            </w:r>
          </w:p>
        </w:tc>
      </w:tr>
      <w:tr>
        <w:trPr/>
        <w:tc>
          <w:tcPr>
            <w:tcW w:w="5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829"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71" w:type="dxa"/>
            <w:tcBorders/>
            <w:shd w:fill="auto" w:val="clear"/>
            <w:vAlign w:val="center"/>
          </w:tcPr>
          <w:p>
            <w:pPr>
              <w:pStyle w:val="TableContents"/>
              <w:spacing w:before="0" w:after="0"/>
              <w:ind w:left="0" w:right="0" w:hanging="0"/>
              <w:rPr/>
            </w:pPr>
            <w:r>
              <w:rPr/>
              <w:t>​</w:t>
            </w:r>
          </w:p>
        </w:tc>
      </w:tr>
      <w:tr>
        <w:trPr/>
        <w:tc>
          <w:tcPr>
            <w:tcW w:w="564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6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467" w:type="dxa"/>
            <w:tcBorders/>
            <w:shd w:fill="auto" w:val="clear"/>
            <w:vAlign w:val="center"/>
          </w:tcPr>
          <w:p>
            <w:pPr>
              <w:pStyle w:val="TableContents"/>
              <w:spacing w:before="0" w:after="0"/>
              <w:ind w:left="0" w:right="0" w:hanging="0"/>
              <w:rPr/>
            </w:pPr>
            <w:r>
              <w:rPr/>
              <w:t>    </w:t>
            </w:r>
          </w:p>
        </w:tc>
        <w:tc>
          <w:tcPr>
            <w:tcW w:w="68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71" w:type="dxa"/>
            <w:tcBorders/>
            <w:shd w:fill="auto" w:val="clear"/>
            <w:vAlign w:val="center"/>
          </w:tcPr>
          <w:p>
            <w:pPr>
              <w:pStyle w:val="TableContents"/>
              <w:spacing w:before="0" w:after="0"/>
              <w:ind w:left="0" w:right="0" w:hanging="0"/>
              <w:rPr/>
            </w:pPr>
            <w:r>
              <w:rPr/>
              <w:t>    </w:t>
            </w:r>
          </w:p>
        </w:tc>
      </w:tr>
      <w:tr>
        <w:trPr/>
        <w:tc>
          <w:tcPr>
            <w:tcW w:w="5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U.S. full service bottlers/distributors</w:t>
            </w:r>
          </w:p>
        </w:tc>
        <w:tc>
          <w:tcPr>
            <w:tcW w:w="326" w:type="dxa"/>
            <w:tcBorders/>
            <w:shd w:fill="CCEEFF" w:val="clear"/>
            <w:vAlign w:val="center"/>
          </w:tcPr>
          <w:p>
            <w:pPr>
              <w:pStyle w:val="TableContents"/>
              <w:spacing w:before="0" w:after="0"/>
              <w:ind w:left="0" w:right="0" w:hanging="0"/>
              <w:rPr/>
            </w:pPr>
            <w:r>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6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International full service bottlers/distributors</w:t>
            </w:r>
          </w:p>
        </w:tc>
        <w:tc>
          <w:tcPr>
            <w:tcW w:w="326" w:type="dxa"/>
            <w:tcBorders/>
            <w:shd w:fill="auto" w:val="clear"/>
            <w:vAlign w:val="center"/>
          </w:tcPr>
          <w:p>
            <w:pPr>
              <w:pStyle w:val="TableContents"/>
              <w:spacing w:before="0" w:after="0"/>
              <w:ind w:left="0" w:right="0" w:hanging="0"/>
              <w:rPr/>
            </w:pPr>
            <w:r>
              <w:rPr/>
              <w:t> </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6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Club stores and e-commerce retailers</w:t>
            </w:r>
          </w:p>
        </w:tc>
        <w:tc>
          <w:tcPr>
            <w:tcW w:w="326" w:type="dxa"/>
            <w:tcBorders/>
            <w:shd w:fill="CCEEFF" w:val="clear"/>
            <w:vAlign w:val="center"/>
          </w:tcPr>
          <w:p>
            <w:pPr>
              <w:pStyle w:val="TableContents"/>
              <w:spacing w:before="0" w:after="0"/>
              <w:ind w:left="0" w:right="0" w:hanging="0"/>
              <w:rPr/>
            </w:pPr>
            <w:r>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64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Retail grocery, direct convenience, specialty chains and wholesalers</w:t>
            </w:r>
          </w:p>
        </w:tc>
        <w:tc>
          <w:tcPr>
            <w:tcW w:w="326" w:type="dxa"/>
            <w:tcBorders/>
            <w:shd w:fill="auto" w:val="clear"/>
            <w:vAlign w:val="center"/>
          </w:tcPr>
          <w:p>
            <w:pPr>
              <w:pStyle w:val="TableContents"/>
              <w:spacing w:before="0" w:after="0"/>
              <w:ind w:left="0" w:right="0" w:hanging="0"/>
              <w:rPr/>
            </w:pPr>
            <w:r>
              <w:rPr/>
              <w:t> </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46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64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Alcohol, value stores and other</w:t>
            </w:r>
          </w:p>
        </w:tc>
        <w:tc>
          <w:tcPr>
            <w:tcW w:w="326" w:type="dxa"/>
            <w:tcBorders/>
            <w:shd w:fill="CCEEFF" w:val="clear"/>
            <w:vAlign w:val="center"/>
          </w:tcPr>
          <w:p>
            <w:pPr>
              <w:pStyle w:val="TableContents"/>
              <w:spacing w:before="0" w:after="0"/>
              <w:ind w:left="0" w:right="0" w:hanging="0"/>
              <w:rPr/>
            </w:pPr>
            <w:r>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46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6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non-alcohol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alcohol customers include J.J. Taylor Distributing, Ben E. Keith, Reyes Beer Division, Sheehan Family Companies, and Admiral Beverage.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A decision by any large customer to decrease amounts purchased from us or to cease carrying our products could have a material adverse effect on our financial condition and consolidated results of operations.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Europacific Partners accounted for approximately 13% and 12% of our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Coca-Cola Consolidated, Inc. accounted for approximately 10% and 9% of our net sales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Reyes Coca-Cola Bottling, LLC accounted for approximately 9% and 10% of our net sales for the three-months ended March 31, 2023 and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key statistics for the three-months ended March 31, 2023 and 2022.</w:t>
      </w:r>
    </w:p>
    <w:p>
      <w:pPr>
        <w:pStyle w:val="TextBody"/>
        <w:spacing w:before="0" w:after="0"/>
        <w:ind w:left="0" w:right="0" w:firstLine="720"/>
        <w:rPr/>
      </w:pPr>
      <w:r>
        <w:rPr/>
        <w:t>​</w:t>
      </w:r>
    </w:p>
    <w:tbl>
      <w:tblPr>
        <w:tblW w:w="10205" w:type="dxa"/>
        <w:jc w:val="left"/>
        <w:tblInd w:w="0" w:type="dxa"/>
        <w:tblCellMar>
          <w:top w:w="0" w:type="dxa"/>
          <w:left w:w="0" w:type="dxa"/>
          <w:bottom w:w="0" w:type="dxa"/>
          <w:right w:w="0" w:type="dxa"/>
        </w:tblCellMar>
      </w:tblPr>
      <w:tblGrid>
        <w:gridCol w:w="5566"/>
        <w:gridCol w:w="326"/>
        <w:gridCol w:w="211"/>
        <w:gridCol w:w="931"/>
        <w:gridCol w:w="361"/>
        <w:gridCol w:w="211"/>
        <w:gridCol w:w="931"/>
        <w:gridCol w:w="361"/>
        <w:gridCol w:w="991"/>
        <w:gridCol w:w="316"/>
      </w:tblGrid>
      <w:tr>
        <w:trPr/>
        <w:tc>
          <w:tcPr>
            <w:tcW w:w="556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3534410" cy="175260"/>
                      <wp:effectExtent l="0" t="0" r="0" b="0"/>
                      <wp:wrapNone/>
                      <wp:docPr id="417" name="Frame417"/>
                      <a:graphic xmlns:a="http://schemas.openxmlformats.org/drawingml/2006/main">
                        <a:graphicData uri="http://schemas.microsoft.com/office/word/2010/wordprocessingShape">
                          <wps:wsp>
                            <wps:cNvSpPr txBox="1"/>
                            <wps:spPr>
                              <a:xfrm>
                                <a:off x="0" y="0"/>
                                <a:ext cx="35344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207010" cy="175260"/>
                      <wp:effectExtent l="0" t="0" r="0" b="0"/>
                      <wp:wrapNone/>
                      <wp:docPr id="418" name="Frame41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133985" cy="175260"/>
                      <wp:effectExtent l="0" t="0" r="0" b="0"/>
                      <wp:wrapNone/>
                      <wp:docPr id="419" name="Frame41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91185" cy="175260"/>
                      <wp:effectExtent l="0" t="0" r="0" b="0"/>
                      <wp:wrapNone/>
                      <wp:docPr id="420" name="Frame42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29235" cy="175260"/>
                      <wp:effectExtent l="0" t="0" r="0" b="0"/>
                      <wp:wrapNone/>
                      <wp:docPr id="421" name="Frame421"/>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133985" cy="175260"/>
                      <wp:effectExtent l="0" t="0" r="0" b="0"/>
                      <wp:wrapNone/>
                      <wp:docPr id="422" name="Frame42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91185" cy="175260"/>
                      <wp:effectExtent l="0" t="0" r="0" b="0"/>
                      <wp:wrapNone/>
                      <wp:docPr id="423" name="Frame42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29235" cy="175260"/>
                      <wp:effectExtent l="0" t="0" r="0" b="0"/>
                      <wp:wrapNone/>
                      <wp:docPr id="424" name="Frame424"/>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29285" cy="175260"/>
                      <wp:effectExtent l="0" t="0" r="0" b="0"/>
                      <wp:wrapNone/>
                      <wp:docPr id="425" name="Frame42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00660" cy="175260"/>
                      <wp:effectExtent l="0" t="0" r="0" b="0"/>
                      <wp:wrapNone/>
                      <wp:docPr id="426" name="Frame42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64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61"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 thousands, except per share amounts)</w:t>
            </w:r>
          </w:p>
        </w:tc>
        <w:tc>
          <w:tcPr>
            <w:tcW w:w="326" w:type="dxa"/>
            <w:tcBorders/>
            <w:shd w:fill="auto" w:val="clear"/>
            <w:vAlign w:val="center"/>
          </w:tcPr>
          <w:p>
            <w:pPr>
              <w:pStyle w:val="TableContents"/>
              <w:spacing w:before="0" w:after="0"/>
              <w:ind w:left="0" w:right="0" w:hanging="0"/>
              <w:rPr/>
            </w:pPr>
            <w:r>
              <w:rPr/>
              <w:t>​</w:t>
            </w:r>
          </w:p>
        </w:tc>
        <w:tc>
          <w:tcPr>
            <w:tcW w:w="264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61"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61"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61"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Net sales</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1,518,574</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Cost of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801,081</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741,907</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Gross profit*</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897,849</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776,667</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Gross profit as a percentage of net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52.8</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51.1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9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412,785</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377,178</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expenses as a percentage of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24.3</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24.8</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Operating income</w:t>
            </w:r>
            <w:r>
              <w:rPr>
                <w:rFonts w:ascii="Times New Roman;Times;serif" w:hAnsi="Times New Roman;Time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485,064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399,489</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21.4</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income as a percentage of net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91"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Interest and other income (expense), net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12,496</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(7,300)</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Income before provision for income taxes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497,560</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392,189</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Provision for income taxes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100,116</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97,986</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Income taxes as a percentage of income before taxes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91" w:type="dxa"/>
            <w:tcBorders/>
            <w:shd w:fill="auto" w:val="clear"/>
            <w:vAlign w:val="center"/>
          </w:tcPr>
          <w:p>
            <w:pPr>
              <w:pStyle w:val="TableContents"/>
              <w:spacing w:before="0" w:after="0"/>
              <w:ind w:left="0" w:right="0" w:hanging="0"/>
              <w:jc w:val="right"/>
              <w:rPr/>
            </w:pPr>
            <w:r>
              <w:rPr/>
              <w:t>  </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397,444</w:t>
            </w:r>
          </w:p>
        </w:tc>
        <w:tc>
          <w:tcPr>
            <w:tcW w:w="361"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294,203</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as a percentage of 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9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income per common share:</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pPr>
            <w:r>
              <w:rPr/>
              <w:t>  </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pPr>
            <w:r>
              <w:rPr/>
              <w:t>  </w:t>
            </w:r>
          </w:p>
        </w:tc>
        <w:tc>
          <w:tcPr>
            <w:tcW w:w="316" w:type="dxa"/>
            <w:tcBorders/>
            <w:shd w:fill="CCEEFF" w:val="clear"/>
            <w:vAlign w:val="center"/>
          </w:tcPr>
          <w:p>
            <w:pPr>
              <w:pStyle w:val="TableContents"/>
              <w:spacing w:before="0" w:after="0"/>
              <w:ind w:left="0" w:right="0" w:hanging="0"/>
              <w:rPr/>
            </w:pPr>
            <w:r>
              <w:rPr/>
              <w:t>​</w:t>
            </w:r>
          </w:p>
        </w:tc>
      </w:tr>
      <w:tr>
        <w:trPr/>
        <w:tc>
          <w:tcPr>
            <w:tcW w:w="556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0.28</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0.38</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6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pPr>
            <w:r>
              <w:rPr/>
              <w:t>​</w:t>
            </w:r>
          </w:p>
        </w:tc>
        <w:tc>
          <w:tcPr>
            <w:tcW w:w="361"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pPr>
            <w:r>
              <w:rPr/>
              <w:t>​</w:t>
            </w:r>
          </w:p>
        </w:tc>
        <w:tc>
          <w:tcPr>
            <w:tcW w:w="316" w:type="dxa"/>
            <w:tcBorders/>
            <w:shd w:fill="auto" w:val="clear"/>
            <w:vAlign w:val="center"/>
          </w:tcPr>
          <w:p>
            <w:pPr>
              <w:pStyle w:val="TableContents"/>
              <w:spacing w:before="0" w:after="0"/>
              <w:ind w:left="0" w:right="0" w:hanging="0"/>
              <w:rPr/>
            </w:pPr>
            <w:r>
              <w:rPr/>
              <w:t>​</w:t>
            </w:r>
          </w:p>
        </w:tc>
      </w:tr>
      <w:tr>
        <w:trPr/>
        <w:tc>
          <w:tcPr>
            <w:tcW w:w="556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Energy drink case sales (in thousands) (in 192</w:t>
              <w:noBreakHyphen/>
              <w:t>ounce case equivalents)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182,444</w:t>
            </w:r>
          </w:p>
        </w:tc>
        <w:tc>
          <w:tcPr>
            <w:tcW w:w="361"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168,793</w:t>
            </w:r>
          </w:p>
        </w:tc>
        <w:tc>
          <w:tcPr>
            <w:tcW w:w="361"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¹Includes $9.9 million and $10.0 million for the three-months ended March 31, 2023 and 2022, respectively, related to the recognition of deferred revenue.</w:t>
      </w:r>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profit may not be comparable to that of other entities since some entities include all costs associated with their distribution process in cost of sales, whereas others exclude certain costs and instead include such costs within another line item such as operating expenses. We include out-bound freight and warehouse costs in operating expenses rather than in cost of sales.</w:t>
      </w:r>
    </w:p>
    <w:p>
      <w:pPr>
        <w:pStyle w:val="TextBody"/>
        <w:spacing w:before="0" w:after="240"/>
        <w:ind w:left="0" w:right="0" w:hanging="0"/>
        <w:rPr>
          <w:rFonts w:ascii="Times New Roman;Times;serif" w:hAnsi="Times New Roman;Times;serif"/>
          <w:sz w:val="20"/>
        </w:rPr>
      </w:pPr>
      <w:r>
        <w:rPr>
          <w:rFonts w:ascii="Times New Roman;Times;serif" w:hAnsi="Times New Roman;Times;serif"/>
          <w:b/>
          <w:i/>
          <w:sz w:val="20"/>
        </w:rPr>
        <w:t>Three-Months Ended March 31, 2023 Compared to the Three-Months Ended March 31, 2022</w:t>
      </w:r>
      <w:r>
        <w:rPr>
          <w:rFonts w:ascii="Times New Roman;Times;serif" w:hAnsi="Times New Roman;Times;serif"/>
          <w:b/>
          <w:sz w:val="20"/>
        </w:rPr>
        <w:t>.</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Net Sales.</w:t>
      </w:r>
      <w:r>
        <w:rPr>
          <w:rFonts w:ascii="Times New Roman;Times;serif" w:hAnsi="Times New Roman;Times;serif"/>
          <w:sz w:val="20"/>
        </w:rPr>
        <w:t xml:space="preserve"> Net sales were $1.70 billion for the three-months ended March 31, 2023, an increase of approximately $180.4 million, or 11.9% higher than net sales of $1.52 billion for the three-months ended March 31, 2022. Net sales increased primarily due to increased worldwide sales by volume of our Monster Energy</w:t>
      </w:r>
      <w:r>
        <w:rPr>
          <w:rFonts w:ascii="Tms Rmn" w:hAnsi="Tms Rmn"/>
          <w:sz w:val="20"/>
        </w:rPr>
        <w:t>®</w:t>
      </w:r>
      <w:r>
        <w:rPr>
          <w:rFonts w:ascii="Times New Roman;Times;serif" w:hAnsi="Times New Roman;Times;serif"/>
          <w:sz w:val="20"/>
        </w:rPr>
        <w:t xml:space="preserve"> brand energy drinks as a result of increased consumer demand, as well as due to Pricing Actions in certain markets. Net changes in foreign currency exchange rates had an unfavorable impact on net sales of approximately $52.0 million for the three-months ended March 31, 2023. Net sales on a foreign currency adjusted basis increased 15.3% for the three-months ended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were $583.7 million and $518.7 million for the three-months ended March 31, 2023 and 2022, respectively, in EMEA, Asia Pacific, Latin America and the Caribbean.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Monster Energy® Drinks segment were $1.56 billion for the three-months ended March 31, 2023, an increase of approximately $156.8 million, or 11.2% higher than net sales of $1.40 billion for the three-months ended March 31, 2022. Net sales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net sales for the Monster Energy® Drinks segment of approximately $49.0 million for the three-months ended March 31, 2023. Net sales for the Monster Energy® Drinks segment on a foreign currency adjusted basis increased 14.6%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Strategic Brands segment were $86.4 million for the three-months ended March 31, 2023, a decrease of approximately $6.2 million, or 6.7% lower than net sales of $92.6 million for the three-months ended March 31, 2022. Net sales for the Strategic Brands segment decreased primarily due to decreased sales by volume of our NOS® and Full Throttle® brand energy drinks. Net changes in foreign currency exchange rates had an unfavorable impact on net sales of approximately $3.0 million for the Strategic Brands segment for the three-months ended March 31, 2023. Net sales for the Strategic Brands segment on a foreign currency adjusted basis decreased 3.5% for the three-months ended March 31, 2023. Net sales of concentrates within the Strategic Brands segment tend to have more pronounced fluctuations from period to period as compared to net sales of our finished goods within the Monster Energy Drinks® segment.</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Alcohol Brands segment were $46.3 million for the three-months ended March 31, 2023, an increase of approximately $31.1 million, or 204.4% higher than net sales of $15.2 million for the three-months ended March 31, 2022. The comparative 2022 net sales for the Alcohol Brands segment were effectively from February 17, 2022 to March 31, 2022, as we completed the CANarchy Transaction on February 17, 2022. Net sales of The Beast Unleashed</w:t>
      </w:r>
      <w:r>
        <w:rPr>
          <w:rFonts w:ascii="Times New Roman;Times;serif" w:hAnsi="Times New Roman;Times;serif"/>
          <w:sz w:val="15"/>
        </w:rPr>
        <w:t>TM</w:t>
      </w:r>
      <w:r>
        <w:rPr>
          <w:rFonts w:ascii="Times New Roman;Times;serif" w:hAnsi="Times New Roman;Times;serif"/>
          <w:sz w:val="20"/>
        </w:rPr>
        <w:t xml:space="preserve"> FMBs, launched during the 2023 first quarter, were $20.5 million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sales for the Other segment were $4.6 million for the three-months ended March 31, 2023, a decrease of approximately $1.3 million, or 22.2% lower than net sales of $5.9 million for the three-months ended March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Case sales for our energy drink products, in 192-ounce case equivalents, were 182.4 million cases for the three-months ended March 31, 2023, an increase of approximately 13.6 million cases or 8.1% higher than case sales of 168.8 million cases for the three-months ended March 31, 2022. The overall average net sales per case increased to $9.03 for the three-months ended March 31, 2023, which was 1.8% higher than the average net sales per case of $8.87 for the three-months ended March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Barrel sales for our craft beers, hard seltzers and FMBs, in 31 U.S. gallon equivalents, were 0.15 million barrels for the three-months ended March 31, 2023, an increase of approximately 0.10 million barrels or 224.7% higher than barrel sales of 0.05 million barrels for the three-months ended March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Gross Profit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was $897.8 million for the three-months ended March 31, 2023, an increase of approximately $121.2 million, or 15.6% higher than the gross profit of $776.7 million for the three-months ended March 31, 2022. The increase in gross profit dollars was primarily the result of the $180.4 million increase in net sales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profit as a percentage of net sales increased to 52.8% for the three-months ended March 31, 2023 from 51.1% for the three-months ended March 31, 2022. The increase in gross profit as a percentage of net sales for the three-months ended March 31, 2023 was primarily the result of Pricing Actions in certain markets, decreased freight-in costs as well as decreased aluminum can costs. Adversely impacting gross profit as a percentage of gross profit were increased ingredient and other input costs, including secondary packaging materials and increased promotions in certain markets.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Operating Expenses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Total operating expenses were $412.8 million for the three-months ended March 31, 2023, an increase of approximately $35.6 million, or 9.4% higher than total operating expenses of $377.2 million for the three-months ended March 31, 2022.</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increase in operating expenses was primarily due to increased selling and marketing expenses of $18.7 million, including merchandise displays, allocated trade development, premiums and sponsorship and endorsements, increased warehouse costs of $9.9 million, as well as increased payroll expenses of $21.9 million (of which $6.3 million was related to CANarchy). The increase in operating expenses was partially offset by a decrease in out-bound fuel and freight expenses of $16.0 million for the three-months ended March 31, 2023. Operating expenses as a percentage of net sales for the three-months ended March 31, 2023 were 24.3% as compared to 24.8% for the three-months ended March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Operating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$485.1 million for the three-months ended March 31, 2023, an increase of approximately $85.6 million, or 21.4% higher than operating income of $399.5 million for the three-months ended March 31, 2022. Operating income as a percentage of net sales increased to 28.6% for the three-months ended March 31, 2023 from 26.3% for the three-months ended March 31, 2022. The increase in operating income was primarily the result of an increase in net sales, as well as an increase in gross profit as a percentage of 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was $93.7 million and $71.5 million for the three-months ended March 31, 2023 and 2022, respectively, for our operations in EMEA, Asia Pacific, Latin America and the Caribbean.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Monster Energy® Drinks segment, exclusive of corporate and unallocated expenses, was $560.8 million for the three-months ended March 31, 2023, an increase of approximately $106.3 million, or 23.4% higher than operating income of $454.6 million for the three-months ended March 31, 2022. The increase in operating income for the Monster Energy® Drinks segment was primarily the result of an increase in net sales as well as an increase in gross profit as a percentage of 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income for the Strategic Brands segment, exclusive of corporate and unallocated expenses, was $51.8 million for the three-months ended March 31, 2023, a decrease of approximately $5.4 million, or 9.5% lower than operating income of $57.2 million for the three-months ended March 31, 2022. The decrease in operating income for the Strategic Brands segment was primarily the result of a decrease in 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for the Alcohol Brands segment, exclusive of corporate and unallocated expenses, was $6.9 million for the three-months ended March 31, 2023, an increase of approximately $1.9 million, or 39.0% higher than operating loss of $5.0 million for the three-months ended March 31, 2022 (effectively from February 17, 2022 to March 31, 2022). The operating losses for the three-months ended March 31, 2023 were primarily due to expenses and infrastructure investments for the expansion of the Alcohol Brands segment.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Operating (loss) income for the Other segment, exclusive of corporate and unallocated expenses, was ($0.3) million for the three-months ended March 31, 2023, as compared to operating income of $1.1 million for the three-months ended March 31, 2022. The operating loss for the three months ended March 31, 2023 was primarily the result of the decrease in gross profit as a percentage of net sales.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Interest and Other Income (Expense), net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other non-operating income (expense), net, was $12.5 million for the three-months ended March 31, 2023, as compared to interest and other non-operating income (expense), net, of ($7.3) million for the three-months ended March 31, 2022. Foreign currency transaction losses were $11.2 million and $8.4 million for the three-months ended March 31, 2023 and 2022, respectively. Interest income was $23.5 million and $1.5 million for the three-months ended March 31, 2023 and 2022, respectively.</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Provision for Income Taxes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Provision for income taxes was $100.1 million for the three-months ended March 31, 2023, an increase of $2.1 million, or 2.2% higher than the provision for income taxes of $98.0 million for the three-months ended March 31, 2022. The effective combined federal, state and foreign tax rate decreased to 20.1% from 25.0% for the three-months ended March 31, 2023 and 2022, respectively. The decrease in the effective tax rate was primarily attributable to the increase in the stock compensation deduction in the three-months ended March 31, 2023.</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Net Income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income was $397.4 million for the three-months ended March 31, 2023, an increase of $103.2 million, or 35.1% higher than net income of $294.2 million for the three-months ended March 31, 2022. The increase in net income for the three-months ended March 31, 2023 was primarily due to the increase in net sales, the increase in the gross profit percentage of net sales as well as the decrease in the effective combined federal, state and foreign tax rate.</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Key Business Metrics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Non-GAAP Financial Measures and Other Key Metrics</w:t>
      </w:r>
    </w:p>
    <w:p>
      <w:pPr>
        <w:pStyle w:val="TextBody"/>
        <w:spacing w:before="0" w:after="240"/>
        <w:ind w:left="0" w:right="0" w:hanging="0"/>
        <w:rPr>
          <w:rFonts w:ascii="Times New Roman;Times;serif" w:hAnsi="Times New Roman;Times;serif"/>
          <w:b/>
          <w:i/>
          <w:sz w:val="20"/>
        </w:rPr>
      </w:pPr>
      <w:r>
        <w:rPr>
          <w:rFonts w:ascii="Times New Roman;Times;serif" w:hAnsi="Times New Roman;Times;serif"/>
          <w:b/>
          <w:i/>
          <w:sz w:val="20"/>
        </w:rPr>
        <w:t>Gross Billings**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were $1.96 billion for the three-months ended March 31, 2023, an increase of approximately $211.1 million, or 12.1% higher than gross billings of $1.74 billion for the three-months ended March 31, 2022. Net changes in foreign currency exchange rates had an unfavorable impact on gross billings of approximately $60.9 million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Monster Energy® Drinks segment were $1.80 billion for the three-months ended March 31, 2023, an increase of approximately $186.4 million, or 11.5% higher than gross billings of $1.62 billion for the three-months ended March 31, 2022. Gross billings for the Monster Energy® Drinks segment increased primarily due to increased worldwide sales by volume of our Monster Energy® brand energy drinks as a result of increased consumer demand as well as due to Pricing Actions in certain markets. Net changes in foreign currency exchange rates had an unfavorable impact on gross billings for the Monster Energy® Drinks segment of approximately $58.0 million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Strategic Brands segment were $98.7 million for the three-months ended March 31, 2023, a decrease of $5.5 million, or 5.3% lower than gross billings of $104.3 million for the three-months ended March 31, 2022. Gross Billings for the Strategic Brands segment decreased primarily due to decreased sales by volume of our NOS® and Full Throttle® brand energy drinks. Net changes in foreign currency exchange rates had an unfavorable impact on gross billings in the Strategic Brands segment of approximately $2.9 million for the three-months ended March 31, 2023.</w:t>
      </w:r>
    </w:p>
    <w:p>
      <w:pPr>
        <w:pStyle w:val="TextBody"/>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Alcohol Brands segment were $47.0 million for the three-months ended March 31, 2023, an increase of approximately $31.6 million, or 205.0% higher than net sales of $15.4 million for the three-months ended March 31, 2022. The comparative 2022 gross billings for the Alcohol Brands segment were effectively from February 17, 2022 to March 31, 2022 as we completed the CANarchy Transaction on February 17, 2022. Gross Billings of The Beast Unleashed</w:t>
      </w:r>
      <w:r>
        <w:rPr>
          <w:rFonts w:ascii="Times New Roman;Times;serif" w:hAnsi="Times New Roman;Times;serif"/>
          <w:sz w:val="15"/>
        </w:rPr>
        <w:t>TM</w:t>
      </w:r>
      <w:r>
        <w:rPr>
          <w:rFonts w:ascii="Times New Roman;Times;serif" w:hAnsi="Times New Roman;Times;serif"/>
          <w:sz w:val="20"/>
        </w:rPr>
        <w:t xml:space="preserve"> FMBs, launched during the 2023 first quarter, were $20.7 million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Gross billings for the Other segment were $4.6 million for the three-months ended March 31, 2023, a decrease of $1.3 million, or 22.2% lower than gross billings of $5.9 million for the three-months ended March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Promotional allowances, commissions and other expenses, as described in the footnote below, were $266.1 million for the three-months ended March 31, 2023, an increase of $30.7 million, or 13.0% higher than promotional allowances, commissions and other expenses of $235.4 million for the three-months ended March 31, 2022. Promotional allowances, commissions and other expenses as a percentage of gross billings increased to 13.6% from 13.5% for the three-months ended March 31, 2023 and 2022, respectively.</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i/>
          <w:sz w:val="20"/>
        </w:rPr>
      </w:pPr>
      <w:r>
        <w:rPr>
          <w:rFonts w:ascii="Times New Roman;Times;serif" w:hAnsi="Times New Roman;Times;serif"/>
          <w:i/>
          <w:sz w:val="20"/>
        </w:rPr>
        <w:t>**Gross Billings represent amounts invoiced to customers net of cash discounts, returns and excise taxes.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reconciles the non-GAAP financial measure of gross billings with the most directly comparable GAAP financial measure of net sales:</w:t>
      </w:r>
    </w:p>
    <w:tbl>
      <w:tblPr>
        <w:tblW w:w="10150" w:type="dxa"/>
        <w:jc w:val="left"/>
        <w:tblInd w:w="0" w:type="dxa"/>
        <w:tblCellMar>
          <w:top w:w="0" w:type="dxa"/>
          <w:left w:w="0" w:type="dxa"/>
          <w:bottom w:w="0" w:type="dxa"/>
          <w:right w:w="0" w:type="dxa"/>
        </w:tblCellMar>
      </w:tblPr>
      <w:tblGrid>
        <w:gridCol w:w="5581"/>
        <w:gridCol w:w="326"/>
        <w:gridCol w:w="211"/>
        <w:gridCol w:w="931"/>
        <w:gridCol w:w="326"/>
        <w:gridCol w:w="211"/>
        <w:gridCol w:w="931"/>
        <w:gridCol w:w="326"/>
        <w:gridCol w:w="991"/>
        <w:gridCol w:w="316"/>
      </w:tblGrid>
      <w:tr>
        <w:trPr/>
        <w:tc>
          <w:tcPr>
            <w:tcW w:w="55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3543935" cy="175260"/>
                      <wp:effectExtent l="0" t="0" r="0" b="0"/>
                      <wp:wrapNone/>
                      <wp:docPr id="427" name="Frame427"/>
                      <a:graphic xmlns:a="http://schemas.openxmlformats.org/drawingml/2006/main">
                        <a:graphicData uri="http://schemas.microsoft.com/office/word/2010/wordprocessingShape">
                          <wps:wsp>
                            <wps:cNvSpPr txBox="1"/>
                            <wps:spPr>
                              <a:xfrm>
                                <a:off x="0" y="0"/>
                                <a:ext cx="3543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07010" cy="175260"/>
                      <wp:effectExtent l="0" t="0" r="0" b="0"/>
                      <wp:wrapNone/>
                      <wp:docPr id="428" name="Frame42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33985" cy="175260"/>
                      <wp:effectExtent l="0" t="0" r="0" b="0"/>
                      <wp:wrapNone/>
                      <wp:docPr id="429" name="Frame42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1185" cy="175260"/>
                      <wp:effectExtent l="0" t="0" r="0" b="0"/>
                      <wp:wrapNone/>
                      <wp:docPr id="430" name="Frame43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31" name="Frame43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33985" cy="175260"/>
                      <wp:effectExtent l="0" t="0" r="0" b="0"/>
                      <wp:wrapNone/>
                      <wp:docPr id="432" name="Frame43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591185" cy="175260"/>
                      <wp:effectExtent l="0" t="0" r="0" b="0"/>
                      <wp:wrapNone/>
                      <wp:docPr id="433" name="Frame433"/>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4" name="Frame43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29285" cy="175260"/>
                      <wp:effectExtent l="0" t="0" r="0" b="0"/>
                      <wp:wrapNone/>
                      <wp:docPr id="435" name="Frame435"/>
                      <a:graphic xmlns:a="http://schemas.openxmlformats.org/drawingml/2006/main">
                        <a:graphicData uri="http://schemas.microsoft.com/office/word/2010/wordprocessingShape">
                          <wps:wsp>
                            <wps:cNvSpPr txBox="1"/>
                            <wps:spPr>
                              <a:xfrm>
                                <a:off x="0" y="0"/>
                                <a:ext cx="6292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0660" cy="175260"/>
                      <wp:effectExtent l="0" t="0" r="0" b="0"/>
                      <wp:wrapNone/>
                      <wp:docPr id="436" name="Frame43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610"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c>
          <w:tcPr>
            <w:tcW w:w="326" w:type="dxa"/>
            <w:tcBorders/>
            <w:shd w:fill="auto" w:val="clear"/>
            <w:vAlign w:val="center"/>
          </w:tcPr>
          <w:p>
            <w:pPr>
              <w:pStyle w:val="TableContents"/>
              <w:spacing w:before="0" w:after="0"/>
              <w:ind w:left="0" w:right="0" w:hanging="0"/>
              <w:rPr/>
            </w:pPr>
            <w:r>
              <w:rPr/>
              <w:t>    </w:t>
            </w:r>
          </w:p>
        </w:tc>
        <w:tc>
          <w:tcPr>
            <w:tcW w:w="99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Percentage</w:t>
            </w:r>
          </w:p>
        </w:tc>
        <w:tc>
          <w:tcPr>
            <w:tcW w:w="316" w:type="dxa"/>
            <w:tcBorders/>
            <w:shd w:fill="auto"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 thousands)</w:t>
            </w:r>
          </w:p>
        </w:tc>
        <w:tc>
          <w:tcPr>
            <w:tcW w:w="326" w:type="dxa"/>
            <w:tcBorders/>
            <w:shd w:fill="auto" w:val="clear"/>
            <w:vAlign w:val="center"/>
          </w:tcPr>
          <w:p>
            <w:pPr>
              <w:pStyle w:val="TableContents"/>
              <w:spacing w:before="0" w:after="0"/>
              <w:ind w:left="0" w:right="0" w:hanging="0"/>
              <w:rPr/>
            </w:pPr>
            <w:r>
              <w:rPr/>
              <w:t>​</w:t>
            </w:r>
          </w:p>
        </w:tc>
        <w:tc>
          <w:tcPr>
            <w:tcW w:w="2610"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c>
          <w:tcPr>
            <w:tcW w:w="326" w:type="dxa"/>
            <w:tcBorders/>
            <w:shd w:fill="auto" w:val="clear"/>
            <w:vAlign w:val="center"/>
          </w:tcPr>
          <w:p>
            <w:pPr>
              <w:pStyle w:val="TableContents"/>
              <w:spacing w:before="0" w:after="0"/>
              <w:ind w:left="0" w:right="0" w:hanging="0"/>
              <w:rPr/>
            </w:pPr>
            <w:r>
              <w:rPr/>
              <w:t>​</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Change</w:t>
            </w:r>
          </w:p>
        </w:tc>
        <w:tc>
          <w:tcPr>
            <w:tcW w:w="316" w:type="dxa"/>
            <w:tcBorders/>
            <w:shd w:fill="auto" w:val="clear"/>
            <w:vAlign w:val="center"/>
          </w:tcPr>
          <w:p>
            <w:pPr>
              <w:pStyle w:val="TableContents"/>
              <w:spacing w:before="0" w:after="0"/>
              <w:ind w:left="0" w:right="0" w:hanging="0"/>
              <w:rPr/>
            </w:pPr>
            <w:r>
              <w:rPr/>
              <w:t>​</w:t>
            </w:r>
          </w:p>
        </w:tc>
      </w:tr>
      <w:tr>
        <w:trPr/>
        <w:tc>
          <w:tcPr>
            <w:tcW w:w="55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26" w:type="dxa"/>
            <w:tcBorders/>
            <w:shd w:fill="auto" w:val="clear"/>
            <w:vAlign w:val="center"/>
          </w:tcPr>
          <w:p>
            <w:pPr>
              <w:pStyle w:val="TableContents"/>
              <w:spacing w:before="0" w:after="0"/>
              <w:ind w:left="0" w:right="0" w:hanging="0"/>
              <w:rPr/>
            </w:pPr>
            <w:r>
              <w:rPr/>
              <w:t> </w:t>
            </w:r>
          </w:p>
        </w:tc>
        <w:tc>
          <w:tcPr>
            <w:tcW w:w="99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23 vs. 22</w:t>
            </w:r>
          </w:p>
        </w:tc>
        <w:tc>
          <w:tcPr>
            <w:tcW w:w="316" w:type="dxa"/>
            <w:tcBorders/>
            <w:shd w:fill="auto" w:val="clear"/>
            <w:vAlign w:val="center"/>
          </w:tcPr>
          <w:p>
            <w:pPr>
              <w:pStyle w:val="TableContents"/>
              <w:spacing w:before="0" w:after="0"/>
              <w:ind w:left="0" w:right="0" w:hanging="0"/>
              <w:rPr/>
            </w:pPr>
            <w:r>
              <w:rPr/>
              <w:t>​</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Gross Billings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1,955,039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1,743,927</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12.1</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Revenue</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9,946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10,020</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(0.7)</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Promotional allowances, commissions and other expenses***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266,055</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235,373</w:t>
            </w:r>
          </w:p>
        </w:tc>
        <w:tc>
          <w:tcPr>
            <w:tcW w:w="326" w:type="dxa"/>
            <w:tcBorders/>
            <w:shd w:fill="CCEEFF" w:val="clear"/>
            <w:vAlign w:val="center"/>
          </w:tcPr>
          <w:p>
            <w:pPr>
              <w:pStyle w:val="TableContents"/>
              <w:spacing w:before="0" w:after="0"/>
              <w:ind w:left="0" w:right="0" w:hanging="0"/>
              <w:rPr/>
            </w:pPr>
            <w:r>
              <w:rPr/>
              <w:t>​</w:t>
            </w:r>
          </w:p>
        </w:tc>
        <w:tc>
          <w:tcPr>
            <w:tcW w:w="99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13.0</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r>
        <w:trPr/>
        <w:tc>
          <w:tcPr>
            <w:tcW w:w="55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1,518,574</w:t>
            </w:r>
          </w:p>
        </w:tc>
        <w:tc>
          <w:tcPr>
            <w:tcW w:w="326" w:type="dxa"/>
            <w:tcBorders/>
            <w:shd w:fill="auto" w:val="clear"/>
            <w:vAlign w:val="center"/>
          </w:tcPr>
          <w:p>
            <w:pPr>
              <w:pStyle w:val="TableContents"/>
              <w:spacing w:before="0" w:after="0"/>
              <w:ind w:left="0" w:right="0" w:hanging="0"/>
              <w:rPr/>
            </w:pPr>
            <w:r>
              <w:rPr/>
              <w:t>​</w:t>
            </w:r>
          </w:p>
        </w:tc>
        <w:tc>
          <w:tcPr>
            <w:tcW w:w="99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3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0"/>
        <w:ind w:left="0" w:right="0" w:hanging="0"/>
        <w:rPr/>
      </w:pPr>
      <w:r>
        <w:rPr/>
        <w:t>​</w:t>
      </w:r>
    </w:p>
    <w:p>
      <w:pPr>
        <w:pStyle w:val="TextBody"/>
        <w:spacing w:before="0" w:after="240"/>
        <w:ind w:left="0" w:right="0" w:hanging="0"/>
        <w:jc w:val="both"/>
        <w:rPr>
          <w:rFonts w:ascii="Times New Roman;Times;serif" w:hAnsi="Times New Roman;Times;serif"/>
          <w:sz w:val="18"/>
        </w:rPr>
      </w:pPr>
      <w:r>
        <w:rPr>
          <w:rFonts w:ascii="Times New Roman;Times;serif" w:hAnsi="Times New Roman;Times;serif"/>
          <w:i/>
          <w:sz w:val="18"/>
        </w:rPr>
        <w:t>***</w:t>
      </w:r>
      <w:r>
        <w:rPr>
          <w:rFonts w:ascii="Times New Roman;Times;serif" w:hAnsi="Times New Roman;Times;serif"/>
          <w:sz w:val="18"/>
        </w:rPr>
        <w:t xml:space="preserve"> </w:t>
      </w:r>
      <w:r>
        <w:rPr>
          <w:rFonts w:ascii="Times New Roman;Times;serif" w:hAnsi="Times New Roman;Times;serif"/>
          <w:i/>
          <w:sz w:val="18"/>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paid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 numerous bottlers/distributors and/or retailers are executed through separate agreements in the ordinary course of business. These agreements generally provide for one or more of the arrangements described above and are of varying durations, ranging from one week to one year. Promotional and other allowances for our Alcohol Brands segment primarily include price promotions where permitted.</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table below discloses selected quarterly data regarding sales for the three-months ended March 31, 2023 and 2022, respectively. Data from any one or more quarters or periods is not necessarily indicative of annual results or continuing trends.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quarterly results of operations reflect seasonal trends that are primarily the result of increased demand in the warmer months of the year. Beverage sales tend to be lower during the first and fourth quarters of each calendar year. However, our experience with our energy drink products suggests they are less seasonal than the seasonality expected from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w:t>
      </w:r>
    </w:p>
    <w:tbl>
      <w:tblPr>
        <w:tblW w:w="6987" w:type="dxa"/>
        <w:jc w:val="left"/>
        <w:tblInd w:w="0" w:type="dxa"/>
        <w:tblCellMar>
          <w:top w:w="0" w:type="dxa"/>
          <w:left w:w="0" w:type="dxa"/>
          <w:bottom w:w="0" w:type="dxa"/>
          <w:right w:w="0" w:type="dxa"/>
        </w:tblCellMar>
      </w:tblPr>
      <w:tblGrid>
        <w:gridCol w:w="4006"/>
        <w:gridCol w:w="326"/>
        <w:gridCol w:w="211"/>
        <w:gridCol w:w="931"/>
        <w:gridCol w:w="326"/>
        <w:gridCol w:w="211"/>
        <w:gridCol w:w="976"/>
      </w:tblGrid>
      <w:tr>
        <w:trPr/>
        <w:tc>
          <w:tcPr>
            <w:tcW w:w="40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543810" cy="175260"/>
                      <wp:effectExtent l="0" t="0" r="0" b="0"/>
                      <wp:wrapNone/>
                      <wp:docPr id="437" name="Frame437"/>
                      <a:graphic xmlns:a="http://schemas.openxmlformats.org/drawingml/2006/main">
                        <a:graphicData uri="http://schemas.microsoft.com/office/word/2010/wordprocessingShape">
                          <wps:wsp>
                            <wps:cNvSpPr txBox="1"/>
                            <wps:spPr>
                              <a:xfrm>
                                <a:off x="0" y="0"/>
                                <a:ext cx="25438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8" name="Frame4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133985" cy="175260"/>
                      <wp:effectExtent l="0" t="0" r="0" b="0"/>
                      <wp:wrapNone/>
                      <wp:docPr id="439" name="Frame43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591185" cy="175260"/>
                      <wp:effectExtent l="0" t="0" r="0" b="0"/>
                      <wp:wrapNone/>
                      <wp:docPr id="440" name="Frame440"/>
                      <a:graphic xmlns:a="http://schemas.openxmlformats.org/drawingml/2006/main">
                        <a:graphicData uri="http://schemas.microsoft.com/office/word/2010/wordprocessingShape">
                          <wps:wsp>
                            <wps:cNvSpPr txBox="1"/>
                            <wps:spPr>
                              <a:xfrm>
                                <a:off x="0" y="0"/>
                                <a:ext cx="5911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07010" cy="175260"/>
                      <wp:effectExtent l="0" t="0" r="0" b="0"/>
                      <wp:wrapNone/>
                      <wp:docPr id="441" name="Frame4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33985" cy="175260"/>
                      <wp:effectExtent l="0" t="0" r="0" b="0"/>
                      <wp:wrapNone/>
                      <wp:docPr id="442" name="Frame44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19760" cy="175260"/>
                      <wp:effectExtent l="0" t="0" r="0" b="0"/>
                      <wp:wrapNone/>
                      <wp:docPr id="443" name="Frame443"/>
                      <a:graphic xmlns:a="http://schemas.openxmlformats.org/drawingml/2006/main">
                        <a:graphicData uri="http://schemas.microsoft.com/office/word/2010/wordprocessingShape">
                          <wps:wsp>
                            <wps:cNvSpPr txBox="1"/>
                            <wps:spPr>
                              <a:xfrm>
                                <a:off x="0" y="0"/>
                                <a:ext cx="6197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655" w:type="dxa"/>
            <w:gridSpan w:val="5"/>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Three-Months Ended</w:t>
            </w:r>
          </w:p>
        </w:tc>
      </w:tr>
      <w:tr>
        <w:trPr/>
        <w:tc>
          <w:tcPr>
            <w:tcW w:w="4006" w:type="dxa"/>
            <w:tcBorders>
              <w:bottom w:val="single" w:sz="2" w:space="0" w:color="000000"/>
            </w:tcBorders>
            <w:shd w:fill="auto" w:val="clear"/>
            <w:tcMar>
              <w:bottom w:w="28" w:type="dxa"/>
            </w:tcM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(In thousands, except average net sales per case)</w:t>
            </w:r>
          </w:p>
        </w:tc>
        <w:tc>
          <w:tcPr>
            <w:tcW w:w="326" w:type="dxa"/>
            <w:tcBorders/>
            <w:shd w:fill="auto" w:val="clear"/>
            <w:vAlign w:val="center"/>
          </w:tcPr>
          <w:p>
            <w:pPr>
              <w:pStyle w:val="TableContents"/>
              <w:spacing w:before="0" w:after="0"/>
              <w:ind w:left="0" w:right="0" w:hanging="0"/>
              <w:rPr/>
            </w:pPr>
            <w:r>
              <w:rPr/>
              <w:t>​</w:t>
            </w:r>
          </w:p>
        </w:tc>
        <w:tc>
          <w:tcPr>
            <w:tcW w:w="2655"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March 31, </w:t>
            </w:r>
          </w:p>
        </w:tc>
      </w:tr>
      <w:tr>
        <w:trPr/>
        <w:tc>
          <w:tcPr>
            <w:tcW w:w="400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14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1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40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Net sales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1,698,930</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1,518,574</w:t>
            </w:r>
          </w:p>
        </w:tc>
      </w:tr>
      <w:tr>
        <w:trPr/>
        <w:tc>
          <w:tcPr>
            <w:tcW w:w="40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Alcohol Brands segment sales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3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(46,290)</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w:t>
            </w:r>
          </w:p>
        </w:tc>
        <w:tc>
          <w:tcPr>
            <w:tcW w:w="9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(15,207)</w:t>
            </w:r>
          </w:p>
        </w:tc>
      </w:tr>
      <w:tr>
        <w:trPr/>
        <w:tc>
          <w:tcPr>
            <w:tcW w:w="40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Less: Other segment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(4,614)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(5,927)</w:t>
            </w:r>
          </w:p>
        </w:tc>
      </w:tr>
      <w:tr>
        <w:trPr/>
        <w:tc>
          <w:tcPr>
            <w:tcW w:w="4006"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Adjusted net sales</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1,648,026</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1,497,440</w:t>
            </w:r>
          </w:p>
        </w:tc>
      </w:tr>
      <w:tr>
        <w:trPr/>
        <w:tc>
          <w:tcPr>
            <w:tcW w:w="4006"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3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w:t>
            </w:r>
          </w:p>
        </w:tc>
        <w:tc>
          <w:tcPr>
            <w:tcW w:w="976" w:type="dxa"/>
            <w:tcBorders/>
            <w:shd w:fill="CCEEFF" w:val="clear"/>
            <w:vAlign w:val="center"/>
          </w:tcPr>
          <w:p>
            <w:pPr>
              <w:pStyle w:val="TableContents"/>
              <w:spacing w:before="0" w:after="0"/>
              <w:ind w:left="0" w:right="0" w:hanging="0"/>
              <w:jc w:val="right"/>
              <w:rPr/>
            </w:pPr>
            <w:r>
              <w:rPr/>
              <w:t>​</w:t>
            </w:r>
          </w:p>
        </w:tc>
      </w:tr>
      <w:tr>
        <w:trPr/>
        <w:tc>
          <w:tcPr>
            <w:tcW w:w="4006"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Case sales by segment:</w:t>
            </w:r>
            <w:r>
              <w:rPr>
                <w:rFonts w:ascii="Times New Roman;Times;serif" w:hAnsi="Times New Roman;Times;serif"/>
                <w:sz w:val="15"/>
              </w:rPr>
              <w:t>1</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3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976" w:type="dxa"/>
            <w:tcBorders/>
            <w:shd w:fill="auto" w:val="clear"/>
            <w:vAlign w:val="center"/>
          </w:tcPr>
          <w:p>
            <w:pPr>
              <w:pStyle w:val="TableContents"/>
              <w:spacing w:before="0" w:after="0"/>
              <w:ind w:left="0" w:right="0" w:hanging="0"/>
              <w:jc w:val="right"/>
              <w:rPr/>
            </w:pPr>
            <w:r>
              <w:rPr/>
              <w:t>​</w:t>
            </w:r>
          </w:p>
        </w:tc>
      </w:tr>
      <w:tr>
        <w:trPr/>
        <w:tc>
          <w:tcPr>
            <w:tcW w:w="40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Monster Energy® Drinks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3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151,071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9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140,126</w:t>
            </w:r>
          </w:p>
        </w:tc>
      </w:tr>
      <w:tr>
        <w:trPr/>
        <w:tc>
          <w:tcPr>
            <w:tcW w:w="40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Strategic Brands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31,373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28,667</w:t>
            </w:r>
          </w:p>
        </w:tc>
      </w:tr>
      <w:tr>
        <w:trPr/>
        <w:tc>
          <w:tcPr>
            <w:tcW w:w="4006"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Total case sales</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3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182,444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976"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168,793</w:t>
            </w:r>
          </w:p>
        </w:tc>
      </w:tr>
      <w:tr>
        <w:trPr/>
        <w:tc>
          <w:tcPr>
            <w:tcW w:w="4006"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Average net sales per case - Energy Drinks</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7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8.87</w:t>
            </w:r>
          </w:p>
        </w:tc>
      </w:tr>
    </w:tbl>
    <w:p>
      <w:pPr>
        <w:pStyle w:val="TextBody"/>
        <w:spacing w:before="0" w:after="0"/>
        <w:ind w:left="0" w:right="0" w:hanging="0"/>
        <w:rPr/>
      </w:pPr>
      <w:r>
        <w:rPr/>
        <w:t>​</w:t>
      </w:r>
    </w:p>
    <w:p>
      <w:pPr>
        <w:pStyle w:val="TextBody"/>
        <w:spacing w:lineRule="auto" w:line="240" w:before="0" w:after="240"/>
        <w:ind w:left="0" w:right="0" w:hanging="0"/>
        <w:jc w:val="both"/>
        <w:rPr>
          <w:rFonts w:ascii="Times New Roman;Times;serif" w:hAnsi="Times New Roman;Times;serif"/>
          <w:sz w:val="18"/>
        </w:rPr>
      </w:pPr>
      <w:r>
        <w:rPr>
          <w:rFonts w:ascii="Times New Roman;Times;serif" w:hAnsi="Times New Roman;Times;serif"/>
          <w:i/>
          <w:sz w:val="14"/>
        </w:rPr>
        <w:t>1</w:t>
      </w:r>
      <w:r>
        <w:rPr>
          <w:rFonts w:ascii="Times New Roman;Times;serif" w:hAnsi="Times New Roman;Times;serif"/>
          <w:i/>
          <w:sz w:val="18"/>
        </w:rPr>
        <w:t>Excludes Alcohol Brands segment and Other segment net sales.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Net changes in foreign currency exchange rates had an unfavorable impact on the overall average net sales per case for the three-months ended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our alcohol products are expressed in barrel volume. A “Barrel” means a unit of measurement equal to 31 U.S. gallons. Barrel sales were 0.15 million and 0.05 million for the three-months ended March 31, 2023 and 2022, respectively.</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2, “Management’s Discussion and Analysis of Financial Condition and Results of Operations – Results of Operations” for additional information related to the increase in sales.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and cash equivalents, short-term and long-term investments. </w:t>
      </w:r>
      <w:r>
        <w:rPr>
          <w:rFonts w:ascii="Times New Roman;Times;serif" w:hAnsi="Times New Roman;Times;serif"/>
          <w:sz w:val="20"/>
        </w:rPr>
        <w:t>At March 31, 2023, we had $1.67 billion in cash and cash equivalents, $1.38 billion in short-term investments and $41.2 million in long-term investments, including certificates of deposit, commercial paper, U.S. government agency securities, municipal securities, U.S. treasuries and corporate bonds. We maintain our investments for cash 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Of our $1.67 billion of cash and cash equivalents held at March 31, 2023, $779.1 million was held by our foreign subsidiaries. No short-term or long-term investments were held by our foreign subsidiaries at March 31, 2023.</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$200.0 million through March 31, 2024. However, future business opportunities may cause a change in this estimate.</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summarizes our cash flows for the three-months ended March 31, 2023 and 2022 (in thousands):</w:t>
      </w:r>
    </w:p>
    <w:tbl>
      <w:tblPr>
        <w:tblW w:w="5472" w:type="dxa"/>
        <w:jc w:val="left"/>
        <w:tblInd w:w="0" w:type="dxa"/>
        <w:tblCellMar>
          <w:top w:w="0" w:type="dxa"/>
          <w:left w:w="0" w:type="dxa"/>
          <w:bottom w:w="0" w:type="dxa"/>
          <w:right w:w="0" w:type="dxa"/>
        </w:tblCellMar>
      </w:tblPr>
      <w:tblGrid>
        <w:gridCol w:w="2656"/>
        <w:gridCol w:w="326"/>
        <w:gridCol w:w="211"/>
        <w:gridCol w:w="796"/>
        <w:gridCol w:w="326"/>
        <w:gridCol w:w="211"/>
        <w:gridCol w:w="946"/>
      </w:tblGrid>
      <w:tr>
        <w:trPr/>
        <w:tc>
          <w:tcPr>
            <w:tcW w:w="26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1686560" cy="175260"/>
                      <wp:effectExtent l="0" t="0" r="0" b="0"/>
                      <wp:wrapNone/>
                      <wp:docPr id="444" name="Frame444"/>
                      <a:graphic xmlns:a="http://schemas.openxmlformats.org/drawingml/2006/main">
                        <a:graphicData uri="http://schemas.microsoft.com/office/word/2010/wordprocessingShape">
                          <wps:wsp>
                            <wps:cNvSpPr txBox="1"/>
                            <wps:spPr>
                              <a:xfrm>
                                <a:off x="0" y="0"/>
                                <a:ext cx="16865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207010" cy="175260"/>
                      <wp:effectExtent l="0" t="0" r="0" b="0"/>
                      <wp:wrapNone/>
                      <wp:docPr id="445" name="Frame4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05460" cy="175260"/>
                      <wp:effectExtent l="0" t="0" r="0" b="0"/>
                      <wp:wrapNone/>
                      <wp:docPr id="447" name="Frame447"/>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07010" cy="175260"/>
                      <wp:effectExtent l="0" t="0" r="0" b="0"/>
                      <wp:wrapNone/>
                      <wp:docPr id="448" name="Frame4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133985" cy="175260"/>
                      <wp:effectExtent l="0" t="0" r="0" b="0"/>
                      <wp:wrapNone/>
                      <wp:docPr id="449" name="Frame44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00710" cy="175260"/>
                      <wp:effectExtent l="0" t="0" r="0" b="0"/>
                      <wp:wrapNone/>
                      <wp:docPr id="450" name="Frame450"/>
                      <a:graphic xmlns:a="http://schemas.openxmlformats.org/drawingml/2006/main">
                        <a:graphicData uri="http://schemas.microsoft.com/office/word/2010/wordprocessingShape">
                          <wps:wsp>
                            <wps:cNvSpPr txBox="1"/>
                            <wps:spPr>
                              <a:xfrm>
                                <a:off x="0" y="0"/>
                                <a:ext cx="6007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cash provided by (used in):</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79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w:t>
            </w:r>
          </w:p>
        </w:tc>
        <w:tc>
          <w:tcPr>
            <w:tcW w:w="946" w:type="dxa"/>
            <w:tcBorders/>
            <w:shd w:fill="auto" w:val="clear"/>
            <w:vAlign w:val="center"/>
          </w:tcPr>
          <w:p>
            <w:pPr>
              <w:pStyle w:val="TableContents"/>
              <w:spacing w:before="0" w:after="0"/>
              <w:ind w:left="0" w:right="0" w:hanging="0"/>
              <w:jc w:val="center"/>
              <w:rPr/>
            </w:pPr>
            <w:r>
              <w:rPr/>
              <w:t>​</w:t>
            </w:r>
          </w:p>
        </w:tc>
      </w:tr>
      <w:tr>
        <w:trPr/>
        <w:tc>
          <w:tcPr>
            <w:tcW w:w="265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2023</w:t>
            </w:r>
          </w:p>
        </w:tc>
        <w:tc>
          <w:tcPr>
            <w:tcW w:w="326" w:type="dxa"/>
            <w:tcBorders/>
            <w:shd w:fill="auto" w:val="clear"/>
            <w:vAlign w:val="center"/>
          </w:tcPr>
          <w:p>
            <w:pPr>
              <w:pStyle w:val="TableContents"/>
              <w:spacing w:before="0" w:after="0"/>
              <w:ind w:left="0" w:right="0" w:hanging="0"/>
              <w:rPr/>
            </w:pPr>
            <w:r>
              <w:rPr/>
              <w:t> </w:t>
            </w:r>
          </w:p>
        </w:tc>
        <w:tc>
          <w:tcPr>
            <w:tcW w:w="11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Operating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424,475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265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Investing activities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(52,766)</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(303,630)</w:t>
            </w:r>
          </w:p>
        </w:tc>
      </w:tr>
      <w:tr>
        <w:trPr/>
        <w:tc>
          <w:tcPr>
            <w:tcW w:w="265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Financing activities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(6,049)</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(4,223)</w:t>
            </w:r>
          </w:p>
        </w:tc>
      </w:tr>
    </w:tbl>
    <w:p>
      <w:pPr>
        <w:pStyle w:val="TextBody"/>
        <w:spacing w:before="0" w:after="0"/>
        <w:ind w:left="0" w:right="0" w:firstLine="720"/>
        <w:jc w:val="both"/>
        <w:rPr/>
      </w:pPr>
      <w:r>
        <w:rPr/>
        <w:t>​</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flows provided by (used in) operating activities. </w:t>
      </w:r>
      <w:r>
        <w:rPr>
          <w:rFonts w:ascii="Times New Roman;Times;serif" w:hAnsi="Times New Roman;Times;serif"/>
          <w:sz w:val="20"/>
        </w:rPr>
        <w:t>Cash provided by operating activities was $424.5 million for the three-months ended March 31, 2023, as compared with cash used in operating activities of ($0.4) million for the three-months ended March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three-months ended March 31, 2023, cash provided by operating activities was primarily attributable to net income earned of $397.4 million and adjustments for certain non-cash expenses, consisting of $19.0 million of depreciation and amortization and non-cash lease expense, and $16.1 million of stock-based compensation. For the three-months ended March 31, 2023, cash provided by operating activities also increased due to a $51.1 million increase in accounts payable, a $48.3 million increase in accrued promotional allowances, a $41.6 million increase in income taxes payable, a $35.5 million decrease in inventories, a $14.2 million increase in accrued liabilities, a $4.0 million decrease in prepaid income taxes and a $1.3 million decrease in prepaid expenses and other assets. For the three-months ended March 31, 2023, cash used in operating activities was primarily attributable to a $167.5 million increase in accounts receivable, a $30.3 million decrease in accrued compensation and a $5.0 million decrease in deferred revenue.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three-months ended March 31, 2022, cash provided by operating activities was primarily attributable to net income earned of $294.2 million and adjustments for certain non-cash expenses, consisting of $16.3 million of stock-based compensation and $14.6 million of depreciation and amortization. For the three-months ended March 31, 2022, cash provided by operating activities also increased due to a $61.2 million increase in accrued promotional allowances, a $20.6 million increase in accrued liabilities and an $18.3 million increase in accounts payable. For the three-months ended March 31, 2022, cash used in operating activities was primarily attributable to a $208.7 million increase in inventories, a $134.4 million increase in accounts receivable, a $32.1 million decrease in accrued compensation, a $29.6 million increase in prepaid expenses and other assets, a $9.8 million decrease in income taxes payable, a $5.9 million increase in prepaid income taxes and a $5.9 million decrease in deferred revenue.</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Cash flows used in investing activities.</w:t>
      </w:r>
      <w:r>
        <w:rPr>
          <w:rFonts w:ascii="Times New Roman;Times;serif" w:hAnsi="Times New Roman;Times;serif"/>
          <w:sz w:val="20"/>
        </w:rPr>
        <w:t xml:space="preserve"> Cash used in investing activities was $52.8 million for the three-months ended March 31, 2023 as compared to cash used in investing activities of $303.6 million for the three-months ended March 31, 2022.</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For both the three-months ended March 31, 2023 and 2022, cash provided by investing activities was primarily attributable to sales of available-for-sale investments. For the three-months ended March 31, 2022, cash used in investing activities included $330.4 million net of cash acquired, related to the CANarchy Transaction. For both the three-months ended March 31, 2023 and 2022, cash used in investing activities was primarily attributable to purchases of available-for-sale investments. To a lesser extent, for both the three-months ended March 31, 2023 and 2022,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construction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Cash flow used in financing activities. </w:t>
      </w:r>
      <w:r>
        <w:rPr>
          <w:rFonts w:ascii="Times New Roman;Times;serif" w:hAnsi="Times New Roman;Times;serif"/>
          <w:sz w:val="20"/>
        </w:rPr>
        <w:t>Cash used in financing activities was $6.0 million for the three-months ended March 31, 2023 as compared to cash used in financing activities of $4.2 million for the three-months ended March 31, 2022. The cash used in financing activities for both the three-months ended March 31, 2023 and 2022 was primarily the result of the repurchases of our common stock. The cash provided by financing activities for both the three-months ended March 31, 2023, and 2022 was primarily attributable to the issuance of our common stock under our stock-based compensation plans.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represents a summary of the Company’s contractual commitments and related scheduled maturities as of March 31, 2023:</w:t>
      </w:r>
    </w:p>
    <w:tbl>
      <w:tblPr>
        <w:tblW w:w="8541" w:type="dxa"/>
        <w:jc w:val="left"/>
        <w:tblInd w:w="0" w:type="dxa"/>
        <w:tblCellMar>
          <w:top w:w="0" w:type="dxa"/>
          <w:left w:w="0" w:type="dxa"/>
          <w:bottom w:w="0" w:type="dxa"/>
          <w:right w:w="0" w:type="dxa"/>
        </w:tblCellMar>
      </w:tblPr>
      <w:tblGrid>
        <w:gridCol w:w="2161"/>
        <w:gridCol w:w="326"/>
        <w:gridCol w:w="211"/>
        <w:gridCol w:w="781"/>
        <w:gridCol w:w="326"/>
        <w:gridCol w:w="211"/>
        <w:gridCol w:w="781"/>
        <w:gridCol w:w="326"/>
        <w:gridCol w:w="211"/>
        <w:gridCol w:w="676"/>
        <w:gridCol w:w="326"/>
        <w:gridCol w:w="211"/>
        <w:gridCol w:w="676"/>
        <w:gridCol w:w="326"/>
        <w:gridCol w:w="211"/>
        <w:gridCol w:w="781"/>
      </w:tblGrid>
      <w:tr>
        <w:trPr/>
        <w:tc>
          <w:tcPr>
            <w:tcW w:w="21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372235" cy="175260"/>
                      <wp:effectExtent l="0" t="0" r="0" b="0"/>
                      <wp:wrapNone/>
                      <wp:docPr id="451" name="Frame451"/>
                      <a:graphic xmlns:a="http://schemas.openxmlformats.org/drawingml/2006/main">
                        <a:graphicData uri="http://schemas.microsoft.com/office/word/2010/wordprocessingShape">
                          <wps:wsp>
                            <wps:cNvSpPr txBox="1"/>
                            <wps:spPr>
                              <a:xfrm>
                                <a:off x="0" y="0"/>
                                <a:ext cx="1372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5935" cy="175260"/>
                      <wp:effectExtent l="0" t="0" r="0" b="0"/>
                      <wp:wrapNone/>
                      <wp:docPr id="454" name="Frame454"/>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95935" cy="175260"/>
                      <wp:effectExtent l="0" t="0" r="0" b="0"/>
                      <wp:wrapNone/>
                      <wp:docPr id="457" name="Frame457"/>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29260" cy="175260"/>
                      <wp:effectExtent l="0" t="0" r="0" b="0"/>
                      <wp:wrapNone/>
                      <wp:docPr id="460" name="Frame460"/>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207010" cy="175260"/>
                      <wp:effectExtent l="0" t="0" r="0" b="0"/>
                      <wp:wrapNone/>
                      <wp:docPr id="461" name="Frame4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2" name="Frame46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429260" cy="175260"/>
                      <wp:effectExtent l="0" t="0" r="0" b="0"/>
                      <wp:wrapNone/>
                      <wp:docPr id="463" name="Frame46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07010" cy="175260"/>
                      <wp:effectExtent l="0" t="0" r="0" b="0"/>
                      <wp:wrapNone/>
                      <wp:docPr id="464" name="Frame4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133985" cy="175260"/>
                      <wp:effectExtent l="0" t="0" r="0" b="0"/>
                      <wp:wrapNone/>
                      <wp:docPr id="465" name="Frame465"/>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7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495935" cy="175260"/>
                      <wp:effectExtent l="0" t="0" r="0" b="0"/>
                      <wp:wrapNone/>
                      <wp:docPr id="466" name="Frame466"/>
                      <a:graphic xmlns:a="http://schemas.openxmlformats.org/drawingml/2006/main">
                        <a:graphicData uri="http://schemas.microsoft.com/office/word/2010/wordprocessingShape">
                          <wps:wsp>
                            <wps:cNvSpPr txBox="1"/>
                            <wps:spPr>
                              <a:xfrm>
                                <a:off x="0" y="0"/>
                                <a:ext cx="495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6054" w:type="dxa"/>
            <w:gridSpan w:val="1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Payments due by period (in thousands)</w:t>
            </w:r>
          </w:p>
        </w:tc>
      </w:tr>
      <w:tr>
        <w:trPr/>
        <w:tc>
          <w:tcPr>
            <w:tcW w:w="216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211" w:type="dxa"/>
            <w:tcBorders/>
            <w:shd w:fill="auto" w:val="clear"/>
            <w:vAlign w:val="center"/>
          </w:tcPr>
          <w:p>
            <w:pPr>
              <w:pStyle w:val="TableContents"/>
              <w:spacing w:before="0" w:after="0"/>
              <w:ind w:left="0" w:right="0" w:hanging="0"/>
              <w:rPr/>
            </w:pPr>
            <w:r>
              <w:rPr/>
              <w:t>​</w:t>
            </w:r>
          </w:p>
        </w:tc>
        <w:tc>
          <w:tcPr>
            <w:tcW w:w="78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Less than</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w:t>
              <w:noBreakHyphen/>
              <w:t>3 </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noBreakHyphen/>
              <w:t>5 </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More than</w:t>
            </w:r>
          </w:p>
        </w:tc>
      </w:tr>
      <w:tr>
        <w:trPr/>
        <w:tc>
          <w:tcPr>
            <w:tcW w:w="2161" w:type="dxa"/>
            <w:tcBorders>
              <w:bottom w:val="single" w:sz="2" w:space="0" w:color="000000"/>
            </w:tcBorders>
            <w:shd w:fill="auto" w:val="clear"/>
            <w:tcMar>
              <w:bottom w:w="28" w:type="dxa"/>
            </w:tcMar>
            <w:vAlign w:val="center"/>
          </w:tcPr>
          <w:p>
            <w:pPr>
              <w:pStyle w:val="TableContents"/>
              <w:pBdr/>
              <w:spacing w:before="0" w:after="0"/>
              <w:ind w:left="0" w:right="0" w:hanging="0"/>
              <w:jc w:val="center"/>
              <w:rPr>
                <w:rFonts w:ascii="Times New Roman;Times;serif" w:hAnsi="Times New Roman;Times;serif"/>
                <w:sz w:val="20"/>
              </w:rPr>
            </w:pPr>
            <w:r>
              <w:rPr>
                <w:rFonts w:ascii="Times New Roman;Times;serif" w:hAnsi="Times New Roman;Times;serif"/>
                <w:sz w:val="20"/>
              </w:rPr>
              <w:t>Obligations</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1 year</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years</w:t>
            </w:r>
          </w:p>
        </w:tc>
        <w:tc>
          <w:tcPr>
            <w:tcW w:w="326" w:type="dxa"/>
            <w:tcBorders/>
            <w:shd w:fill="auto" w:val="clear"/>
            <w:vAlign w:val="center"/>
          </w:tcPr>
          <w:p>
            <w:pPr>
              <w:pStyle w:val="TableContents"/>
              <w:spacing w:before="0" w:after="0"/>
              <w:ind w:left="0" w:right="0" w:hanging="0"/>
              <w:rPr/>
            </w:pPr>
            <w:r>
              <w:rPr/>
              <w:t> </w:t>
            </w:r>
          </w:p>
        </w:tc>
        <w:tc>
          <w:tcPr>
            <w:tcW w:w="9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 years</w:t>
            </w:r>
          </w:p>
        </w:tc>
      </w:tr>
      <w:tr>
        <w:trPr/>
        <w:tc>
          <w:tcPr>
            <w:tcW w:w="2161" w:type="dxa"/>
            <w:tcBorders/>
            <w:shd w:fill="CCEEFF"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Contractual Obligations</w:t>
            </w:r>
            <w:r>
              <w:rPr>
                <w:rFonts w:ascii="Calibri;Helvetica;sans-serif" w:hAnsi="Calibri;Helvetica;sans-serif"/>
                <w:sz w:val="15"/>
              </w:rPr>
              <w:t>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380,587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291,735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81,618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7,234</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spacing w:before="0" w:after="0"/>
              <w:ind w:left="0" w:right="0" w:hanging="0"/>
              <w:jc w:val="right"/>
              <w:rPr/>
            </w:pPr>
            <w:r>
              <w:rPr/>
              <w:t>—</w:t>
            </w:r>
          </w:p>
        </w:tc>
      </w:tr>
      <w:tr>
        <w:trPr/>
        <w:tc>
          <w:tcPr>
            <w:tcW w:w="2161"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Finance Leases</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2,493</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2,459</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shd w:fill="auto" w:val="clear"/>
            <w:vAlign w:val="center"/>
          </w:tcPr>
          <w:p>
            <w:pPr>
              <w:pStyle w:val="TableContents"/>
              <w:spacing w:before="0" w:after="0"/>
              <w:ind w:left="0" w:right="0" w:hanging="0"/>
              <w:rPr/>
            </w:pPr>
            <w:r>
              <w:rPr/>
              <w:t> </w:t>
            </w:r>
          </w:p>
        </w:tc>
        <w:tc>
          <w:tcPr>
            <w:tcW w:w="781" w:type="dxa"/>
            <w:tcBorders/>
            <w:shd w:fill="auto" w:val="cle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40,005</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8,758</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11,791</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67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7,837</w:t>
            </w:r>
          </w:p>
        </w:tc>
        <w:tc>
          <w:tcPr>
            <w:tcW w:w="326" w:type="dxa"/>
            <w:tcBorders/>
            <w:shd w:fill="CCEEFF" w:val="clear"/>
            <w:vAlign w:val="center"/>
          </w:tcPr>
          <w:p>
            <w:pPr>
              <w:pStyle w:val="TableContents"/>
              <w:spacing w:before="0" w:after="0"/>
              <w:ind w:left="0" w:right="0" w:hanging="0"/>
              <w:rPr/>
            </w:pPr>
            <w:r>
              <w:rPr/>
              <w:t>​</w:t>
            </w:r>
          </w:p>
        </w:tc>
        <w:tc>
          <w:tcPr>
            <w:tcW w:w="211" w:type="dxa"/>
            <w:tcBorders/>
            <w:shd w:fill="CCEEFF" w:val="clear"/>
            <w:vAlign w:val="center"/>
          </w:tcPr>
          <w:p>
            <w:pPr>
              <w:pStyle w:val="TableContents"/>
              <w:spacing w:before="0" w:after="0"/>
              <w:ind w:left="0" w:right="0" w:hanging="0"/>
              <w:rPr/>
            </w:pPr>
            <w:r>
              <w:rPr/>
              <w:t> </w:t>
            </w:r>
          </w:p>
        </w:tc>
        <w:tc>
          <w:tcPr>
            <w:tcW w:w="781"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11,619</w:t>
            </w:r>
          </w:p>
        </w:tc>
      </w:tr>
      <w:tr>
        <w:trPr/>
        <w:tc>
          <w:tcPr>
            <w:tcW w:w="2161" w:type="dxa"/>
            <w:tcBorders/>
            <w:shd w:fill="auto" w:val="clear"/>
            <w:vAlign w:val="center"/>
          </w:tcPr>
          <w:p>
            <w:pPr>
              <w:pStyle w:val="TableContents"/>
              <w:pBdr/>
              <w:spacing w:lineRule="auto" w:line="240" w:before="0" w:after="0"/>
              <w:ind w:left="0" w:right="0" w:hanging="0"/>
              <w:rPr>
                <w:rFonts w:ascii="Times New Roman;Times;serif" w:hAnsi="Times New Roman;Times;serif"/>
                <w:sz w:val="20"/>
              </w:rPr>
            </w:pPr>
            <w:r>
              <w:rPr>
                <w:rFonts w:ascii="Times New Roman;Times;serif" w:hAnsi="Times New Roman;Times;serif"/>
                <w:sz w:val="20"/>
              </w:rPr>
              <w:t>Purchase Commitments</w:t>
            </w:r>
            <w:r>
              <w:rPr>
                <w:rFonts w:ascii="Calibri;Helvetica;sans-serif" w:hAnsi="Calibri;Helvetica;sans-serif"/>
                <w:sz w:val="15"/>
              </w:rPr>
              <w:t>2</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336,845</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332,774</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4,071</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781" w:type="dxa"/>
            <w:tcBorders>
              <w:bottom w:val="single" w:sz="2" w:space="0" w:color="000000"/>
            </w:tcBorders>
            <w:shd w:fill="auto" w:val="clear"/>
            <w:tcMar>
              <w:bottom w:w="28" w:type="dxa"/>
            </w:tcMar>
            <w:vAlign w:val="center"/>
          </w:tcPr>
          <w:p>
            <w:pPr>
              <w:pStyle w:val="TableContents"/>
              <w:spacing w:before="0" w:after="0"/>
              <w:ind w:left="0" w:right="0" w:hanging="0"/>
              <w:jc w:val="right"/>
              <w:rPr/>
            </w:pPr>
            <w:r>
              <w:rPr/>
              <w:t>—</w:t>
            </w:r>
          </w:p>
        </w:tc>
      </w:tr>
      <w:tr>
        <w:trPr/>
        <w:tc>
          <w:tcPr>
            <w:tcW w:w="216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759,930</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635,726</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97,514</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15,071</w:t>
            </w:r>
          </w:p>
        </w:tc>
        <w:tc>
          <w:tcPr>
            <w:tcW w:w="326" w:type="dxa"/>
            <w:tcBorders/>
            <w:shd w:fill="CCEEFF" w:val="clear"/>
            <w:vAlign w:val="center"/>
          </w:tcPr>
          <w:p>
            <w:pPr>
              <w:pStyle w:val="TableContents"/>
              <w:spacing w:before="0" w:after="0"/>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11,619</w:t>
            </w:r>
          </w:p>
        </w:tc>
      </w:tr>
    </w:tbl>
    <w:p>
      <w:pPr>
        <w:pStyle w:val="TextBody"/>
        <w:spacing w:before="0" w:after="0"/>
        <w:ind w:left="0" w:right="0" w:hanging="0"/>
        <w:rPr/>
      </w:pPr>
      <w:r>
        <w:rPr/>
        <w:t>​</w:t>
      </w:r>
    </w:p>
    <w:p>
      <w:pPr>
        <w:pStyle w:val="TextBody"/>
        <w:spacing w:lineRule="auto" w:line="240" w:before="0" w:after="0"/>
        <w:ind w:left="0" w:right="0" w:hanging="0"/>
        <w:jc w:val="both"/>
        <w:rPr>
          <w:rFonts w:ascii="Times New Roman;Times;serif" w:hAnsi="Times New Roman;Times;serif"/>
          <w:sz w:val="16"/>
        </w:rPr>
      </w:pPr>
      <w:r>
        <w:rPr>
          <w:rFonts w:ascii="Times New Roman;Times;serif" w:hAnsi="Times New Roman;Times;serif"/>
          <w:i/>
          <w:sz w:val="12"/>
        </w:rPr>
        <w:t>1</w:t>
      </w:r>
      <w:r>
        <w:rPr>
          <w:rFonts w:ascii="Times New Roman;Times;serif" w:hAnsi="Times New Roman;Times;serif"/>
          <w:i/>
          <w:sz w:val="16"/>
        </w:rPr>
        <w:t>Contractual obligations include our obligations related to sponsorships and other commitments.</w:t>
      </w:r>
    </w:p>
    <w:p>
      <w:pPr>
        <w:pStyle w:val="TextBody"/>
        <w:spacing w:lineRule="auto" w:line="240" w:before="0" w:after="240"/>
        <w:ind w:left="0" w:right="0" w:hanging="0"/>
        <w:jc w:val="both"/>
        <w:rPr>
          <w:rFonts w:ascii="Times New Roman;Times;serif" w:hAnsi="Times New Roman;Times;serif"/>
          <w:sz w:val="16"/>
        </w:rPr>
      </w:pPr>
      <w:r>
        <w:rPr>
          <w:rFonts w:ascii="Times New Roman;Times;serif" w:hAnsi="Times New Roman;Times;serif"/>
          <w:i/>
          <w:sz w:val="12"/>
        </w:rPr>
        <w:t>2</w:t>
      </w:r>
      <w:r>
        <w:rPr>
          <w:rFonts w:ascii="Times New Roman;Times;serif" w:hAnsi="Times New Roman;Times;serif"/>
          <w:i/>
          <w:sz w:val="16"/>
        </w:rPr>
        <w:t>Purchase commitments include obligations made by us and our subsidiaries to various suppliers for raw materials used in the production of our products. These obligations vary in terms, but are generally satisfied within one year.</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approximately $3.8 million of unrecognized tax benefits have been recorded as liabilities as of March 31, 2023. It is expected that the amount of unrecognized tax benefits will not significantly change within the next 12 months. As of March 31, 2023, we had $0.6 million of accrued interest and penalties related to unrecognized tax benefits.</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2022 (“Form 10-K”).</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There have been no changes in recently issued or adopted accounting pronouncements that would materially impact the Company from those disclosed in our Annual Report on Form 10-K for the fiscal year ended December 31, 2022.</w:t>
      </w:r>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Inflation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Inflation had a negative impact on our results of operations for the three-months ended March 31, 2023, leading to increased cost of sales and operating expenses.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“estimates” and similar expressions are intended to identify forward-looking statements.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tbl>
      <w:tblPr>
        <w:tblW w:w="8691" w:type="dxa"/>
        <w:jc w:val="left"/>
        <w:tblInd w:w="0" w:type="dxa"/>
        <w:tblCellMar>
          <w:top w:w="28" w:type="dxa"/>
          <w:left w:w="28" w:type="dxa"/>
          <w:bottom w:w="28" w:type="dxa"/>
          <w:right w:w="28" w:type="dxa"/>
        </w:tblCellMar>
      </w:tblPr>
      <w:tblGrid>
        <w:gridCol w:w="124"/>
        <w:gridCol w:w="256"/>
        <w:gridCol w:w="831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31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absorb, mitigate or pass on cost increases to our bottlers/distributors and/or consumers;</w:t>
            </w:r>
          </w:p>
        </w:tc>
      </w:tr>
    </w:tbl>
    <w:tbl>
      <w:tblPr>
        <w:tblW w:w="8616" w:type="dxa"/>
        <w:jc w:val="left"/>
        <w:tblInd w:w="0" w:type="dxa"/>
        <w:tblCellMar>
          <w:top w:w="28" w:type="dxa"/>
          <w:left w:w="28" w:type="dxa"/>
          <w:bottom w:w="28" w:type="dxa"/>
          <w:right w:w="28" w:type="dxa"/>
        </w:tblCellMar>
      </w:tblPr>
      <w:tblGrid>
        <w:gridCol w:w="124"/>
        <w:gridCol w:w="256"/>
        <w:gridCol w:w="823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3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rising costs, interest rates and inflation on the discretionary income of our consumers;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associated with an economic slowdown or recession that could negatively impact the financial condition of our customers and could result in a reduced demand for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military conflict in Ukraine, including supply chain disruptions, volatility in commodity and energy prices, increased economic uncertainty and escalating geopolitical tensions;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growth and/or growth rates (positive or negative) of the domestic and international energy drink categories generally, including in the convenience and gas channel (which is our largest channel) and the impact on demand for our products resulting from deteriorating economic conditions and/or financial uncertainties;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temporary or permanent facility closures, production slowdowns and disruptions in operations experienced by our suppliers, and/or bottlers/distributors, and/or co-packers, and/or breweries, including any material disruptions on the production and distribution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of co-packers leading us to increasingly rely on fewer co-packing groups, certain of which account for a large percentage of our co-packing capacity for our Monster Energy® drinks;</w:t>
            </w:r>
          </w:p>
        </w:tc>
      </w:tr>
    </w:tbl>
    <w:tbl>
      <w:tblPr>
        <w:tblW w:w="9861" w:type="dxa"/>
        <w:jc w:val="left"/>
        <w:tblInd w:w="0" w:type="dxa"/>
        <w:tblCellMar>
          <w:top w:w="28" w:type="dxa"/>
          <w:left w:w="28" w:type="dxa"/>
          <w:bottom w:w="28" w:type="dxa"/>
          <w:right w:w="28" w:type="dxa"/>
        </w:tblCellMar>
      </w:tblPr>
      <w:tblGrid>
        <w:gridCol w:w="124"/>
        <w:gridCol w:w="256"/>
        <w:gridCol w:w="94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logistical issues and delays, including shortages of shipping containers and port of entry congestion;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human and economic consequences of a material reemergence of COVID-19, including new variants, as well as the measures that may be taken by governments and businesses (including the Company and its suppliers, bottlers/distributors, co-packers, and other service providers) and the public at large to limit the spread of COVID-19, including, but not limited to, lockdowns, labor issues, delays, and/or decreased sponsorship, endorsement, sampling, and/or innovation activities, which may have an adverse impact on our business and operations;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extensive commercial arrangements with TCCC and, as a result, our future performance is substantially dependent on the success of our relationship with TCCC;</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TCCC’s bottlers/distributors distributing Coca-Cola brand energy drinks and possible reductions in the number of our SKUs carried by such bottlers/distributors and/or such bottlers/distributors imposing limitations on distributing new product SKUs;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TCCC being one of our significant stockholders and the potential divergence of TCCC’s interests from those of our other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relationships with TCCC system bottlers/distributors and manage their ongoing commitment to focus on our non-alcohol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distribution channels and/or decline in sales due to the termination and/or insolvency of existing and/or new domestic and/or international bottlers/distributors;</w:t>
            </w:r>
          </w:p>
        </w:tc>
      </w:tr>
    </w:tbl>
    <w:tbl>
      <w:tblPr>
        <w:tblW w:w="7521" w:type="dxa"/>
        <w:jc w:val="left"/>
        <w:tblInd w:w="0" w:type="dxa"/>
        <w:tblCellMar>
          <w:top w:w="28" w:type="dxa"/>
          <w:left w:w="28" w:type="dxa"/>
          <w:bottom w:w="28" w:type="dxa"/>
          <w:right w:w="28" w:type="dxa"/>
        </w:tblCellMar>
      </w:tblPr>
      <w:tblGrid>
        <w:gridCol w:w="124"/>
        <w:gridCol w:w="256"/>
        <w:gridCol w:w="71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1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anticipated demand for our products in domestic and/or international markets;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in the inventory levels of our bottlers/distributors, planned or otherwise, and the resultant impact on our revenues;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regulations, including taxation, age restrictions imposed on the sale, purchase, or consumption of our products, marketing restrictions, product registration requirements, tariffs, trade restrictions, container size limitations and/or ingredient restrictions;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inquiries from, and/or actions by, state attorneys general, the Federal Trade Commission (the “FTC”), the Food and Drug Administration (the “FDA”), the Bureau of Alcohol, Tobacco, Firearms and Explosives (the “ATF”),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products, including voluntary and/or required changes to our business practices;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laws, regulations and evolving industry standards regarding consumer privacy and data use and security, including, but not limited to, with respect to the General Data Protection Regulation and the California Consumer Privacy Act of 2018;</w:t>
            </w:r>
          </w:p>
        </w:tc>
      </w:tr>
    </w:tbl>
    <w:tbl>
      <w:tblPr>
        <w:tblW w:w="9696" w:type="dxa"/>
        <w:jc w:val="left"/>
        <w:tblInd w:w="0" w:type="dxa"/>
        <w:tblCellMar>
          <w:top w:w="28" w:type="dxa"/>
          <w:left w:w="28" w:type="dxa"/>
          <w:bottom w:w="28" w:type="dxa"/>
          <w:right w:w="28" w:type="dxa"/>
        </w:tblCellMar>
      </w:tblPr>
      <w:tblGrid>
        <w:gridCol w:w="124"/>
        <w:gridCol w:w="256"/>
        <w:gridCol w:w="93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profitability and/or repatriate cash from certain of our operations outside the United States;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U.S. tax laws as a result of any legislation proposed by the U.S. Presidential Administration or U.S. Congress, which may include efforts to change or repeal the 2017 Tax Cuts and Jobs Act and the federal corporate income tax rate reduction;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produce our products in international markets in which they are sold, thereby reducing freight costs and/or product damages;</w:t>
            </w:r>
          </w:p>
        </w:tc>
      </w:tr>
    </w:tbl>
    <w:tbl>
      <w:tblPr>
        <w:tblW w:w="7161" w:type="dxa"/>
        <w:jc w:val="left"/>
        <w:tblInd w:w="0" w:type="dxa"/>
        <w:tblCellMar>
          <w:top w:w="28" w:type="dxa"/>
          <w:left w:w="28" w:type="dxa"/>
          <w:bottom w:w="28" w:type="dxa"/>
          <w:right w:w="28" w:type="dxa"/>
        </w:tblCellMar>
      </w:tblPr>
      <w:tblGrid>
        <w:gridCol w:w="124"/>
        <w:gridCol w:w="256"/>
        <w:gridCol w:w="67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7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manage our inventories and/or our accounts receivables;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foreign currency exchange rate risk with respect to our sales, expenses, profits, assets and liabilities denominated in currencies other than the U.S. dollar, which will continue to increase as foreign sales increase;</w:t>
            </w:r>
          </w:p>
        </w:tc>
      </w:tr>
    </w:tbl>
    <w:tbl>
      <w:tblPr>
        <w:tblW w:w="8376" w:type="dxa"/>
        <w:jc w:val="left"/>
        <w:tblInd w:w="0" w:type="dxa"/>
        <w:tblCellMar>
          <w:top w:w="28" w:type="dxa"/>
          <w:left w:w="28" w:type="dxa"/>
          <w:bottom w:w="28" w:type="dxa"/>
          <w:right w:w="28" w:type="dxa"/>
        </w:tblCellMar>
      </w:tblPr>
      <w:tblGrid>
        <w:gridCol w:w="124"/>
        <w:gridCol w:w="256"/>
        <w:gridCol w:w="79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79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long-term impact of the United Kingdom’s departure from the European Union (or “Brexit”);</w:t>
            </w:r>
          </w:p>
        </w:tc>
      </w:tr>
    </w:tbl>
    <w:tbl>
      <w:tblPr>
        <w:tblW w:w="6231" w:type="dxa"/>
        <w:jc w:val="left"/>
        <w:tblInd w:w="0" w:type="dxa"/>
        <w:tblCellMar>
          <w:top w:w="28" w:type="dxa"/>
          <w:left w:w="28" w:type="dxa"/>
          <w:bottom w:w="28" w:type="dxa"/>
          <w:right w:w="28" w:type="dxa"/>
        </w:tblCellMar>
      </w:tblPr>
      <w:tblGrid>
        <w:gridCol w:w="124"/>
        <w:gridCol w:w="256"/>
        <w:gridCol w:w="5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standards may affect our reported profitability;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Implications of the Organization for Economic Cooperation and Development’s base erosion and profit shifting project;</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proceedings which may be brought against us by the Securities and Exchange Commission (the “SEC”), the FDA, the FTC, the ATF or other governmental agencies or bodies;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and/or possibility of future shareholder derivative actions or shareholder securities litigation that may be filed against us and/or against certain of our officers and directors, and the possibility of other private shareholder litigation;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Exposure to significant liabilities due to litigation, legal or regulatory proceedings, including litigation directed at the energy and alcohol beverage industries generally or at the Company in particular;</w:t>
            </w:r>
          </w:p>
        </w:tc>
      </w:tr>
    </w:tbl>
    <w:tbl>
      <w:tblPr>
        <w:tblW w:w="3231" w:type="dxa"/>
        <w:jc w:val="left"/>
        <w:tblInd w:w="0" w:type="dxa"/>
        <w:tblCellMar>
          <w:top w:w="28" w:type="dxa"/>
          <w:left w:w="28" w:type="dxa"/>
          <w:bottom w:w="28" w:type="dxa"/>
          <w:right w:w="28" w:type="dxa"/>
        </w:tblCellMar>
      </w:tblPr>
      <w:tblGrid>
        <w:gridCol w:w="124"/>
        <w:gridCol w:w="256"/>
        <w:gridCol w:w="285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285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injunctions;</w:t>
            </w:r>
          </w:p>
        </w:tc>
      </w:tr>
    </w:tbl>
    <w:tbl>
      <w:tblPr>
        <w:tblW w:w="4326" w:type="dxa"/>
        <w:jc w:val="left"/>
        <w:tblInd w:w="0" w:type="dxa"/>
        <w:tblCellMar>
          <w:top w:w="28" w:type="dxa"/>
          <w:left w:w="28" w:type="dxa"/>
          <w:bottom w:w="28" w:type="dxa"/>
          <w:right w:w="28" w:type="dxa"/>
        </w:tblCellMar>
      </w:tblPr>
      <w:tblGrid>
        <w:gridCol w:w="124"/>
        <w:gridCol w:w="256"/>
        <w:gridCol w:w="39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39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resolution of possible tax matters;</w:t>
            </w:r>
          </w:p>
        </w:tc>
      </w:tr>
    </w:tbl>
    <w:tbl>
      <w:tblPr>
        <w:tblW w:w="9741" w:type="dxa"/>
        <w:jc w:val="left"/>
        <w:tblInd w:w="0" w:type="dxa"/>
        <w:tblCellMar>
          <w:top w:w="28" w:type="dxa"/>
          <w:left w:w="28" w:type="dxa"/>
          <w:bottom w:w="28" w:type="dxa"/>
          <w:right w:w="28" w:type="dxa"/>
        </w:tblCellMar>
      </w:tblPr>
      <w:tblGrid>
        <w:gridCol w:w="124"/>
        <w:gridCol w:w="256"/>
        <w:gridCol w:w="93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3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Uncertainty and volatility in the domestic and global economies, including risk of counterparty default or failure;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address any significant deficiencies or material weakness in our internal controls over financial reporting;</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to generate sufficient cash flows to support our expansion plans and general operating activities;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our products resulting from changes in consumer preferences, including, but not limited to; changes in demand for different packages, sizes and configurations; changes due to perceived health concerns such as obesity, ingredients in our products or packaging, and alcohol abuse; changes due to product safety concerns and/or changes due to decreased consumer discretionary spending power;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publicity surrounding obesity, alcohol consumption, and other health concerns related to our products, product safety and quality, water usage, environmental impact and sustainability, human rights, our culture, workforce and labor and workplace laws;</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meet or comply with sustainability-related expectations, standards, and regulations, including forthcoming rules set forth by the SEC and European Commission;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demand that are weather or season related and/or for other reasons, including changes in product category and/or package consumption and changes in cost and availability of certain key ingredients including aluminum cans, as well as disruptions to the supply chain, as a result of climate change and poor or extreme weather conditions;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unstable political conditions, civil unrest, large scale terrorist acts, the outbreak or escalation of armed hostilities, major natural disasters and extreme weather conditions, or widespread outbreaks of infectious diseases (such as the COVID-19 pandemic), or unforeseen economic and political changes and local or international catastrophic events;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business of trademark and trade dress infringement proceedings brought against us relating to any of our brands, which could result in an injunction barring us from selling certain of our products and/or require changes to be made to our current trade dress;</w:t>
            </w:r>
          </w:p>
        </w:tc>
      </w:tr>
    </w:tbl>
    <w:tbl>
      <w:tblPr>
        <w:tblW w:w="9846" w:type="dxa"/>
        <w:jc w:val="left"/>
        <w:tblInd w:w="0" w:type="dxa"/>
        <w:tblCellMar>
          <w:top w:w="28" w:type="dxa"/>
          <w:left w:w="28" w:type="dxa"/>
          <w:bottom w:w="28" w:type="dxa"/>
          <w:right w:w="28" w:type="dxa"/>
        </w:tblCellMar>
      </w:tblPr>
      <w:tblGrid>
        <w:gridCol w:w="124"/>
        <w:gridCol w:w="256"/>
        <w:gridCol w:w="946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46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and/or maintain price increases, including through reductions in promotional allowances;</w:t>
            </w:r>
          </w:p>
        </w:tc>
      </w:tr>
    </w:tbl>
    <w:tbl>
      <w:tblPr>
        <w:tblW w:w="7221" w:type="dxa"/>
        <w:jc w:val="left"/>
        <w:tblInd w:w="0" w:type="dxa"/>
        <w:tblCellMar>
          <w:top w:w="28" w:type="dxa"/>
          <w:left w:w="28" w:type="dxa"/>
          <w:bottom w:w="28" w:type="dxa"/>
          <w:right w:w="28" w:type="dxa"/>
        </w:tblCellMar>
      </w:tblPr>
      <w:tblGrid>
        <w:gridCol w:w="124"/>
        <w:gridCol w:w="256"/>
        <w:gridCol w:w="684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684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achieve volume growth through product and packaging initiatives;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sustain the current level of sales and/or achieve growth for our Monster Energy® brand energy drinks and/or our other products, including our Strategic Brands and Alcohol Brands;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implement our growth strategy, including expanding our business in existing and new sectors, such as the alcohol beverage sector;</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inherent operational risks presented by the alcohol beverage industry that may not be adequately covered by insurance or lead to litigation relating to alcohol marketing, advertising, or distribution practices, alcohol abuse problems and other health consequences arising from excessive consumption of or other misuse of alcohol, including death;</w:t>
            </w:r>
          </w:p>
        </w:tc>
      </w:tr>
    </w:tbl>
    <w:tbl>
      <w:tblPr>
        <w:tblW w:w="5856" w:type="dxa"/>
        <w:jc w:val="left"/>
        <w:tblInd w:w="0" w:type="dxa"/>
        <w:tblCellMar>
          <w:top w:w="28" w:type="dxa"/>
          <w:left w:w="28" w:type="dxa"/>
          <w:bottom w:w="28" w:type="dxa"/>
          <w:right w:w="28" w:type="dxa"/>
        </w:tblCellMar>
      </w:tblPr>
      <w:tblGrid>
        <w:gridCol w:w="124"/>
        <w:gridCol w:w="256"/>
        <w:gridCol w:w="547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47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integrate acquired businesses or assets;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criticism of our products and/or the energy drink and/or alcohol beverage markets generally and/or legislation enacted (whether as a result of such criticism or otherwise) that restricts the marketing or sale of energy drinks and/or alcohol beverages (including prohibiting the sale of energy and/or alcohol drinks at certain establishments or pursuant to certain governmental programs), limits caffeine or alcohol content in beverages, requires certain product labeling disclosures and/or warnings, imposes excise and/or sales taxes, limits product sizes and/or imposes age restrictions for the sale of energy and/or alcohol drinks;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and/or alcohol drinks (including prohibiting the sale of energy and/or alcohol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ATF and/or the FTC or their foreign counterparts;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Disruptions in the timely import or export of our products and/or ingredients including flavors, flavor ingredients and supplement ingredients due to port congestion, strikes and related labor issues or otherwise;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satisfy all criteria set forth in any model energy and/or alcohol drink guidelines, including, without limitation, those adopted by the American Beverage Association, of which we are a member, and/or any international beverage associations and the impact of our failure to satisfy such guidelines may have on our business;</w:t>
            </w:r>
          </w:p>
        </w:tc>
      </w:tr>
    </w:tbl>
    <w:tbl>
      <w:tblPr>
        <w:tblW w:w="8796" w:type="dxa"/>
        <w:jc w:val="left"/>
        <w:tblInd w:w="0" w:type="dxa"/>
        <w:tblCellMar>
          <w:top w:w="28" w:type="dxa"/>
          <w:left w:w="28" w:type="dxa"/>
          <w:bottom w:w="28" w:type="dxa"/>
          <w:right w:w="28" w:type="dxa"/>
        </w:tblCellMar>
      </w:tblPr>
      <w:tblGrid>
        <w:gridCol w:w="124"/>
        <w:gridCol w:w="256"/>
        <w:gridCol w:w="841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41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unfavorable or adverse public relations, press, articles, comments and/or media attention;</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cost, quality and availability of containers, packaging materials, aluminum cans or kegs,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shortages that may be experienced in the procurement of containers and/or other raw materials including, without limitation, water, flavors, flavor ingredients, supplement ingredients, aluminum cans generally, PET containers used for our Monster Hydro® energy drinks, 24-ounce aluminum cap cans, 19.2-ounce cans and 550ml BRE aluminum cans with resealable ends;</w:t>
            </w:r>
          </w:p>
        </w:tc>
      </w:tr>
    </w:tbl>
    <w:tbl>
      <w:tblPr>
        <w:tblW w:w="5736" w:type="dxa"/>
        <w:jc w:val="left"/>
        <w:tblInd w:w="0" w:type="dxa"/>
        <w:tblCellMar>
          <w:top w:w="28" w:type="dxa"/>
          <w:left w:w="28" w:type="dxa"/>
          <w:bottom w:w="28" w:type="dxa"/>
          <w:right w:w="28" w:type="dxa"/>
        </w:tblCellMar>
      </w:tblPr>
      <w:tblGrid>
        <w:gridCol w:w="124"/>
        <w:gridCol w:w="256"/>
        <w:gridCol w:w="535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35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in procuring sufficient quantities of aluminum cans;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on our cost of sales of corporate activity among the limited number of suppliers from whom we purchase certain raw materials;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pass on to our customers all or a portion of any increases in the costs of raw materials, ingredients, commodities and/or other cost inputs affecting our business;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penetrate new domestic and/or international markets and/or gain approval or mitigate the delay in securing approval for the sale of our products in various countries;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and/or marketing efforts by us and/or by the bottlers/distributors of our products, most of whom distribute products that may be regarded as competitive with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Unilateral decisions by bottlers/distributors, buying groups, convenience and gas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certain activities by competitors and others to persuade regulators and/or retailers and/or customers in certain countries to reduce the permitted or maximum container sizes for our products from those currently being sold and marketed by us;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possible trading disputes between our bottler/distributors and their customers and/or one or more buying groups which may result in the delisting of certain of the Company products, temporarily or otherwise;</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retailer consolidation on our business and our ability to successfully adapt to the rapidly changing retail landscape, including, but not limited to, substantial competition in the alcohol beverage market from new entrants, consolidations by competitors and retailers, and other competitive activities;</w:t>
            </w:r>
          </w:p>
        </w:tc>
      </w:tr>
    </w:tbl>
    <w:tbl>
      <w:tblPr>
        <w:tblW w:w="8526" w:type="dxa"/>
        <w:jc w:val="left"/>
        <w:tblInd w:w="0" w:type="dxa"/>
        <w:tblCellMar>
          <w:top w:w="28" w:type="dxa"/>
          <w:left w:w="28" w:type="dxa"/>
          <w:bottom w:w="28" w:type="dxa"/>
          <w:right w:w="28" w:type="dxa"/>
        </w:tblCellMar>
      </w:tblPr>
      <w:tblGrid>
        <w:gridCol w:w="124"/>
        <w:gridCol w:w="256"/>
        <w:gridCol w:w="814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4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adapt to the changing retail landscape with the rapid growth in e-commerce retailers;</w:t>
            </w:r>
          </w:p>
        </w:tc>
      </w:tr>
    </w:tbl>
    <w:tbl>
      <w:tblPr>
        <w:tblW w:w="5661" w:type="dxa"/>
        <w:jc w:val="left"/>
        <w:tblInd w:w="0" w:type="dxa"/>
        <w:tblCellMar>
          <w:top w:w="28" w:type="dxa"/>
          <w:left w:w="28" w:type="dxa"/>
          <w:bottom w:w="28" w:type="dxa"/>
          <w:right w:w="28" w:type="dxa"/>
        </w:tblCellMar>
      </w:tblPr>
      <w:tblGrid>
        <w:gridCol w:w="124"/>
        <w:gridCol w:w="256"/>
        <w:gridCol w:w="528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528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effects of bottler/distributor consolidation on our business;</w:t>
            </w:r>
          </w:p>
        </w:tc>
      </w:tr>
    </w:tbl>
    <w:tbl>
      <w:tblPr>
        <w:tblW w:w="9351" w:type="dxa"/>
        <w:jc w:val="left"/>
        <w:tblInd w:w="0" w:type="dxa"/>
        <w:tblCellMar>
          <w:top w:w="28" w:type="dxa"/>
          <w:left w:w="28" w:type="dxa"/>
          <w:bottom w:w="28" w:type="dxa"/>
          <w:right w:w="28" w:type="dxa"/>
        </w:tblCellMar>
      </w:tblPr>
      <w:tblGrid>
        <w:gridCol w:w="124"/>
        <w:gridCol w:w="256"/>
        <w:gridCol w:w="897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97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and/or effectiveness, now or in the future, of our advertising, marketing and promotional strategies;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sports marketing, social media and other general marketing endeavors both domestically and internationally;</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Possible product recalls and/or reformulations of certain of our products and/or market withdrawals of certain of our products due to defective and/or non-compliant formulas or production in one or more jurisdictions;</w:t>
            </w:r>
          </w:p>
        </w:tc>
      </w:tr>
    </w:tbl>
    <w:tbl>
      <w:tblPr>
        <w:tblW w:w="8541" w:type="dxa"/>
        <w:jc w:val="left"/>
        <w:tblInd w:w="0" w:type="dxa"/>
        <w:tblCellMar>
          <w:top w:w="28" w:type="dxa"/>
          <w:left w:w="28" w:type="dxa"/>
          <w:bottom w:w="28" w:type="dxa"/>
          <w:right w:w="28" w:type="dxa"/>
        </w:tblCellMar>
      </w:tblPr>
      <w:tblGrid>
        <w:gridCol w:w="124"/>
        <w:gridCol w:w="256"/>
        <w:gridCol w:w="8161"/>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161"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our bottlers and/or co-packers to manufacture our products on a timely basis or at all;</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tc>
      </w:tr>
    </w:tbl>
    <w:tbl>
      <w:tblPr>
        <w:tblW w:w="8676" w:type="dxa"/>
        <w:jc w:val="left"/>
        <w:tblInd w:w="0" w:type="dxa"/>
        <w:tblCellMar>
          <w:top w:w="28" w:type="dxa"/>
          <w:left w:w="28" w:type="dxa"/>
          <w:bottom w:w="28" w:type="dxa"/>
          <w:right w:w="28" w:type="dxa"/>
        </w:tblCellMar>
      </w:tblPr>
      <w:tblGrid>
        <w:gridCol w:w="124"/>
        <w:gridCol w:w="256"/>
        <w:gridCol w:w="8296"/>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8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suitable arrangements for the timely procurement of non-defective raw materials;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inability to protect and/or the loss of our intellectual property rights and/or our inability to use our trademarks, trade names or designs and/or trade dress in certain countries;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stock prices which may restrict stock sales, stock purchases or other opportunities as well as negatively impact the motivation of equity award grantees;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our organizational documents and/or control by insiders which may prevent changes in control even if such changes would be beneficial to other stockholders;</w:t>
            </w:r>
          </w:p>
        </w:tc>
      </w:tr>
    </w:tbl>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tc>
      </w:tr>
    </w:tbl>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CellMar>
          <w:top w:w="28" w:type="dxa"/>
          <w:left w:w="28" w:type="dxa"/>
          <w:bottom w:w="28" w:type="dxa"/>
          <w:right w:w="28" w:type="dxa"/>
        </w:tblCellMar>
      </w:tblPr>
      <w:tblGrid>
        <w:gridCol w:w="124"/>
        <w:gridCol w:w="256"/>
        <w:gridCol w:w="9825"/>
      </w:tblGrid>
      <w:tr>
        <w:trPr/>
        <w:tc>
          <w:tcPr>
            <w:tcW w:w="124"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tcMar>
              <w:top w:w="0" w:type="dxa"/>
              <w:left w:w="0" w:type="dxa"/>
              <w:bottom w:w="0" w:type="dxa"/>
              <w:right w:w="0" w:type="dxa"/>
            </w:tcMar>
            <w:vAlign w:val="center"/>
          </w:tcPr>
          <w:p>
            <w:pPr>
              <w:pStyle w:val="TableContents"/>
              <w:spacing w:before="0" w:after="283"/>
              <w:rPr/>
            </w:pPr>
            <w:r>
              <w:rPr/>
              <w:t>●</w:t>
            </w:r>
          </w:p>
        </w:tc>
        <w:tc>
          <w:tcPr>
            <w:tcW w:w="982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Succession plans for and/or the recruitment and retention of senior management, other key employees and our employee base in general.</w:t>
            </w:r>
          </w:p>
        </w:tc>
      </w:tr>
    </w:tbl>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pStyle w:val="TextBody"/>
        <w:spacing w:before="0" w:after="0"/>
        <w:ind w:left="0" w:right="0" w:hanging="0"/>
        <w:rPr/>
      </w:pPr>
      <w:r>
        <w:rPr/>
        <w:t>​</w:t>
      </w:r>
    </w:p>
    <w:p>
      <w:pPr>
        <w:pStyle w:val="TextBody"/>
        <w:pBdr/>
        <w:spacing w:before="0" w:after="240"/>
        <w:ind w:left="0" w:right="0" w:hanging="1152"/>
        <w:jc w:val="both"/>
        <w:rPr>
          <w:rFonts w:ascii="Times New Roman;Times;serif" w:hAnsi="Times New Roman;Times;serif"/>
          <w:b/>
          <w:sz w:val="20"/>
        </w:rPr>
      </w:pPr>
      <w:bookmarkStart w:id="1712" w:name="ITEM3QUANTITATIVEANDQUALITATIVEDISCLOSUR"/>
      <w:bookmarkStart w:id="1713" w:name="_1baa9a99_67fa_4f9e_84a4_a6c5978a2724"/>
      <w:bookmarkEnd w:id="1712"/>
      <w:bookmarkEnd w:id="1713"/>
      <w:r>
        <w:rPr>
          <w:rFonts w:ascii="Times New Roman;Times;serif" w:hAnsi="Times New Roman;Times;serif"/>
          <w:b/>
          <w:sz w:val="20"/>
        </w:rPr>
        <w:t>ITEM 3.    QUANTITATIVE AND QUALITATIVE DISCLOSURES ABOUT MARKET RISK</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There have been no material changes in our market risks during the three-months ended March 31, 2023 compared with the disclosures in Part II, Item 7A of our Form 10-K.</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b/>
          <w:sz w:val="20"/>
        </w:rPr>
      </w:pPr>
      <w:bookmarkStart w:id="1714" w:name="ITEM4CONTROLSANDPROCEDURES_270637"/>
      <w:bookmarkStart w:id="1715" w:name="_d1fd9626_93be_41df_9ab6_bcf65957b432"/>
      <w:bookmarkEnd w:id="1714"/>
      <w:bookmarkEnd w:id="1715"/>
      <w:r>
        <w:rPr>
          <w:rFonts w:ascii="Times New Roman;Times;serif" w:hAnsi="Times New Roman;Times;serif"/>
          <w:b/>
          <w:sz w:val="20"/>
        </w:rPr>
        <w:t>ITEM 4.    CONTROLS AND PROCEDURES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i/>
          <w:sz w:val="20"/>
        </w:rPr>
        <w:t>Evaluation of Disclosure Controls and Procedures</w:t>
      </w:r>
      <w:r>
        <w:rPr>
          <w:rFonts w:ascii="Times New Roman;Times;serif" w:hAnsi="Times New Roman;Times;serif"/>
          <w:sz w:val="20"/>
        </w:rPr>
        <w:t xml:space="preserve"> – Under the supervision and with the participation of the Company’s 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i/>
          <w:sz w:val="20"/>
        </w:rPr>
        <w:t>Changes in Internal Control Over Financial Reporting</w:t>
      </w:r>
      <w:r>
        <w:rPr>
          <w:rFonts w:ascii="Times New Roman;Times;serif" w:hAnsi="Times New Roman;Times;serif"/>
          <w:sz w:val="20"/>
        </w:rPr>
        <w:t xml:space="preserve"> – There were no changes in the Company’s internal controls over financial reporting during the quarter ended March 31, 2023, that have materially affected, or are reasonably likely to materially affect, our internal control over financial reporting.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both"/>
        <w:rPr>
          <w:rFonts w:ascii="Times New Roman;Times;serif" w:hAnsi="Times New Roman;Times;serif"/>
          <w:b/>
          <w:sz w:val="20"/>
        </w:rPr>
      </w:pPr>
      <w:bookmarkStart w:id="1716" w:name="PARTIIOTHERINFORMATION_669833"/>
      <w:bookmarkStart w:id="1717" w:name="_8329f699_2cde_41bf_9908_3b2cb0575a70"/>
      <w:bookmarkEnd w:id="1716"/>
      <w:bookmarkEnd w:id="1717"/>
      <w:r>
        <w:rPr>
          <w:rFonts w:ascii="Times New Roman;Times;serif" w:hAnsi="Times New Roman;Times;serif"/>
          <w:b/>
          <w:sz w:val="20"/>
        </w:rPr>
        <w:t>PART II - OTHER INFORMATION</w:t>
      </w:r>
    </w:p>
    <w:p>
      <w:pPr>
        <w:pStyle w:val="TextBody"/>
        <w:spacing w:before="0" w:after="240"/>
        <w:ind w:left="0" w:right="0" w:hanging="0"/>
        <w:rPr>
          <w:rFonts w:ascii="Times New Roman;Times;serif" w:hAnsi="Times New Roman;Times;serif"/>
          <w:sz w:val="20"/>
        </w:rPr>
      </w:pPr>
      <w:bookmarkStart w:id="1718" w:name="ITEM1LEGALPROCEEDINGS_448899"/>
      <w:bookmarkEnd w:id="1718"/>
      <w:r>
        <w:rPr>
          <w:rFonts w:ascii="Times New Roman;Times;serif" w:hAnsi="Times New Roman;Times;serif"/>
          <w:b/>
          <w:i w:val="false"/>
          <w:caps w:val="false"/>
          <w:smallCaps w:val="false"/>
          <w:sz w:val="20"/>
        </w:rPr>
        <w:t>ITEM 1.</w:t>
      </w:r>
      <w:r>
        <w:rPr>
          <w:rFonts w:ascii="Times New Roman;Times;serif" w:hAnsi="Times New Roman;Times;serif"/>
          <w:b/>
          <w:sz w:val="20"/>
        </w:rPr>
        <w:t>LEGAL PROCEEDINGS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is incorporated herein by reference to the Notes to Condensed Consolidated Financial Statements - Note 11. Commitments and Contingencies: Litigation in Part I, Item 1, of this Quarterly Report on Form 10-Q.</w:t>
      </w:r>
    </w:p>
    <w:p>
      <w:pPr>
        <w:pStyle w:val="TextBody"/>
        <w:spacing w:before="0" w:after="0"/>
        <w:ind w:left="0" w:right="0" w:hanging="0"/>
        <w:rPr/>
      </w:pPr>
      <w:r>
        <w:rPr/>
        <w:t>​</w:t>
      </w:r>
    </w:p>
    <w:p>
      <w:pPr>
        <w:pStyle w:val="TextBody"/>
        <w:spacing w:before="0" w:after="240"/>
        <w:ind w:left="0" w:right="0" w:hanging="0"/>
        <w:jc w:val="left"/>
        <w:rPr>
          <w:rFonts w:ascii="Times New Roman;Times;serif" w:hAnsi="Times New Roman;Times;serif"/>
          <w:sz w:val="20"/>
        </w:rPr>
      </w:pPr>
      <w:bookmarkStart w:id="1719" w:name="ITEM1ARISKFACTORS_609704"/>
      <w:bookmarkStart w:id="1720" w:name="_0b78c092_01a9_4169_99d6_7c12282f2302"/>
      <w:bookmarkEnd w:id="1719"/>
      <w:bookmarkEnd w:id="1720"/>
      <w:r>
        <w:rPr>
          <w:rFonts w:ascii="Times New Roman;Times;serif" w:hAnsi="Times New Roman;Times;serif"/>
          <w:b/>
          <w:i w:val="false"/>
          <w:caps w:val="false"/>
          <w:smallCaps w:val="false"/>
          <w:sz w:val="20"/>
        </w:rPr>
        <w:t>ITEM 1A.</w:t>
      </w:r>
      <w:r>
        <w:rPr>
          <w:rFonts w:ascii="Times New Roman;Times;serif" w:hAnsi="Times New Roman;Times;serif"/>
          <w:b/>
          <w:sz w:val="20"/>
        </w:rPr>
        <w:t>RISK FACTORS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If any of these risks occur or continue to occur, our business, reputation, financial condition and/or operating results could be materially adversely affected. We also note that the risk factors described in this report and our Form 10-K are not the only risks facing our Company, and such additional risks or uncertainties that we currently deem to be immaterial or are unknown to us could negatively impact our business, operations, or financial results.</w:t>
      </w:r>
    </w:p>
    <w:p>
      <w:pPr>
        <w:pStyle w:val="TextBody"/>
        <w:spacing w:before="0" w:after="0"/>
        <w:ind w:left="0" w:right="0" w:hanging="0"/>
        <w:rPr/>
      </w:pPr>
      <w:r>
        <w:rPr/>
        <w:t>​</w:t>
      </w:r>
    </w:p>
    <w:p>
      <w:pPr>
        <w:pStyle w:val="Normal"/>
        <w:spacing w:before="0" w:after="0"/>
        <w:rPr>
          <w:sz w:val="4"/>
          <w:szCs w:val="4"/>
        </w:rPr>
      </w:pPr>
      <w:r>
        <w:rPr>
          <w:sz w:val="4"/>
          <w:szCs w:val="4"/>
        </w:rPr>
      </w:r>
      <w:bookmarkStart w:id="1721" w:name="ITEM2UNREGISTEREDSALESOFEQUITY_417570"/>
      <w:bookmarkStart w:id="1722" w:name="_dcb4bedf_3def_414e_a376_95fe3448c50c"/>
      <w:bookmarkStart w:id="1723" w:name="ITEM2UNREGISTEREDSALESOFEQUITY_417570"/>
      <w:bookmarkStart w:id="1724" w:name="_dcb4bedf_3def_414e_a376_95fe3448c50c"/>
      <w:bookmarkEnd w:id="1723"/>
      <w:bookmarkEnd w:id="1724"/>
    </w:p>
    <w:tbl>
      <w:tblPr>
        <w:tblW w:w="7817" w:type="dxa"/>
        <w:jc w:val="left"/>
        <w:tblInd w:w="0" w:type="dxa"/>
        <w:tblCellMar>
          <w:top w:w="0" w:type="dxa"/>
          <w:left w:w="0" w:type="dxa"/>
          <w:bottom w:w="0" w:type="dxa"/>
          <w:right w:w="0" w:type="dxa"/>
        </w:tblCellMar>
      </w:tblPr>
      <w:tblGrid>
        <w:gridCol w:w="841"/>
        <w:gridCol w:w="6976"/>
      </w:tblGrid>
      <w:tr>
        <w:trPr/>
        <w:tc>
          <w:tcPr>
            <w:tcW w:w="841"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ITEM 2.</w:t>
            </w:r>
          </w:p>
        </w:tc>
        <w:tc>
          <w:tcPr>
            <w:tcW w:w="6976" w:type="dxa"/>
            <w:tcBorders/>
            <w:shd w:fill="auto" w:val="clear"/>
            <w:vAlign w:val="center"/>
          </w:tcPr>
          <w:p>
            <w:pPr>
              <w:pStyle w:val="TableContents"/>
              <w:spacing w:before="0" w:after="240"/>
              <w:rPr>
                <w:rFonts w:ascii="Times New Roman;Times;serif" w:hAnsi="Times New Roman;Times;serif"/>
                <w:b/>
                <w:sz w:val="20"/>
              </w:rPr>
            </w:pPr>
            <w:r>
              <w:rPr>
                <w:rFonts w:ascii="Times New Roman;Times;serif" w:hAnsi="Times New Roman;Times;serif"/>
                <w:b/>
                <w:sz w:val="20"/>
              </w:rPr>
              <w:t>UNREGISTERED SALES OF EQUITY SECURITIES AND USE OF PROCEEDS</w:t>
            </w:r>
          </w:p>
        </w:tc>
      </w:tr>
    </w:tbl>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10, 2023, the Company retired 170.0 million shares (stock split adjusted) of treasury stock owned by the Company. The retired treasury stock had a carrying value of approximately $4.69 billion. The Company’s accounting policy upon the formal retirement of treasury stock is to deduct its par value from common stock and to reflect any excess of cost over par as a deduction from retained earnings.</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14, 2022, the Company’s Board of Directors authorized a share repurchase program for the purchase of up to $500.0 million of the Company’s outstanding common stock (the “June 2022 Repurchase Plan”). During the three-months ended March 31, 2023, no shares were repurchased under the June 2022 Repurchase Plan. As of May 5, 2023, $182.8 million remained available for repurchase under the June 2022 Repurchase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2, 2022, the Company’s Board of Directors authorized a share repurchase program for the purchase of up to an additional $500.0 million of the Company’s outstanding common stock (the “November 2022 Repurchase Plan”). During the three-months ended March 31, 2023, no shares were repurchased under the November 2022 Repurchase Plan. As of May 5, 2023, $500.0 million remained available for repurchase under the November 2022 Repurchase Plan.</w:t>
      </w:r>
    </w:p>
    <w:p>
      <w:pPr>
        <w:pStyle w:val="TextBody"/>
        <w:spacing w:before="0" w:after="240"/>
        <w:ind w:left="0" w:right="0" w:firstLine="720"/>
        <w:jc w:val="both"/>
        <w:rPr>
          <w:rFonts w:ascii="Times New Roman;Times;serif" w:hAnsi="Times New Roman;Times;serif"/>
          <w:sz w:val="20"/>
        </w:rPr>
      </w:pPr>
      <w:r>
        <w:rPr>
          <w:rFonts w:ascii="Times New Roman;Times;serif" w:hAnsi="Times New Roman;Times;serif"/>
          <w:sz w:val="20"/>
        </w:rPr>
        <w:t>The aggregate amount of the Company’s outstanding common stock that remains available for repurchase under all previously authorized repurchase plans is $682.8 million as of May 5, 2023.</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During the three-months ended March 31, 2023, 1.7 million shares of common stock were purchased from employees in lieu of cash payments for options exercised or withholding taxes due for a total amount of $90.4 million. While such purchases are considered common stock repurchases, they are not counted as purchases against the Company’s authorized share repurchase programs. Such shares are included in common stock in treasury in the accompanying consolidated balance sheet at March 31, 2023.</w:t>
      </w:r>
    </w:p>
    <w:p>
      <w:pPr>
        <w:pStyle w:val="TextBody"/>
        <w:spacing w:before="0" w:after="0"/>
        <w:ind w:left="0" w:right="0" w:firstLine="720"/>
        <w:jc w:val="both"/>
        <w:rPr/>
      </w:pPr>
      <w:r>
        <w:rPr/>
        <w:t>​</w:t>
      </w:r>
    </w:p>
    <w:p>
      <w:pPr>
        <w:pStyle w:val="TextBody"/>
        <w:spacing w:before="0" w:after="240"/>
        <w:ind w:left="0" w:right="0" w:hanging="0"/>
        <w:rPr>
          <w:rFonts w:ascii="Times New Roman;Times;serif" w:hAnsi="Times New Roman;Times;serif"/>
          <w:sz w:val="20"/>
        </w:rPr>
      </w:pPr>
      <w:bookmarkStart w:id="1725" w:name="ITEM3DEFAULTSUPONSENIORSECURITIES_753663"/>
      <w:bookmarkStart w:id="1726" w:name="_669b75c1_214a_473b_9e06_4f12cd2e3627"/>
      <w:bookmarkEnd w:id="1725"/>
      <w:bookmarkEnd w:id="1726"/>
      <w:r>
        <w:rPr>
          <w:rFonts w:ascii="Times New Roman;Times;serif" w:hAnsi="Times New Roman;Times;serif"/>
          <w:b/>
          <w:i w:val="false"/>
          <w:caps w:val="false"/>
          <w:smallCaps w:val="false"/>
          <w:sz w:val="20"/>
        </w:rPr>
        <w:t>ITEM 3.</w:t>
      </w:r>
      <w:r>
        <w:rPr>
          <w:rFonts w:ascii="Times New Roman;Times;serif" w:hAnsi="Times New Roman;Times;serif"/>
          <w:b/>
          <w:sz w:val="20"/>
        </w:rPr>
        <w:t>DEFAULTS UPON SENIOR SECURITIES</w:t>
      </w:r>
    </w:p>
    <w:p>
      <w:pPr>
        <w:pStyle w:val="TextBody"/>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1727" w:name="ITEM4MINESAFETYDISCLOSURES_417702"/>
      <w:bookmarkStart w:id="1728" w:name="_6e4a7920_bd6d_4f6b_8e5f_98b96670ce0d"/>
      <w:bookmarkEnd w:id="1727"/>
      <w:bookmarkEnd w:id="1728"/>
      <w:r>
        <w:rPr>
          <w:rFonts w:ascii="Times New Roman;Times;serif" w:hAnsi="Times New Roman;Times;serif"/>
          <w:b/>
          <w:i w:val="false"/>
          <w:caps w:val="false"/>
          <w:smallCaps w:val="false"/>
          <w:sz w:val="20"/>
        </w:rPr>
        <w:t>ITEM 4.</w:t>
      </w:r>
      <w:r>
        <w:rPr>
          <w:rFonts w:ascii="Times New Roman;Times;serif" w:hAnsi="Times New Roman;Times;serif"/>
          <w:b/>
          <w:sz w:val="20"/>
        </w:rPr>
        <w:t>MINE SAFETY DISCLOSURES</w:t>
      </w:r>
    </w:p>
    <w:p>
      <w:pPr>
        <w:pStyle w:val="TextBody"/>
        <w:spacing w:before="0" w:after="0"/>
        <w:ind w:left="0" w:right="0" w:firstLine="726"/>
        <w:jc w:val="both"/>
        <w:rPr>
          <w:rFonts w:ascii="Times New Roman;Times;serif" w:hAnsi="Times New Roman;Times;serif"/>
          <w:sz w:val="20"/>
        </w:rPr>
      </w:pPr>
      <w:r>
        <w:rPr>
          <w:rFonts w:ascii="Times New Roman;Times;serif" w:hAnsi="Times New Roman;Times;serif"/>
          <w:sz w:val="20"/>
        </w:rPr>
        <w:t>Not applicable.</w:t>
      </w:r>
    </w:p>
    <w:p>
      <w:pPr>
        <w:pStyle w:val="TextBody"/>
        <w:spacing w:before="0" w:after="0"/>
        <w:ind w:left="0" w:right="0" w:hanging="0"/>
        <w:rPr/>
      </w:pPr>
      <w:r>
        <w:rPr/>
        <w:t>​</w:t>
      </w:r>
    </w:p>
    <w:p>
      <w:pPr>
        <w:pStyle w:val="TextBody"/>
        <w:spacing w:before="0" w:after="240"/>
        <w:ind w:left="0" w:right="0" w:hanging="0"/>
        <w:rPr>
          <w:rFonts w:ascii="Times New Roman;Times;serif" w:hAnsi="Times New Roman;Times;serif"/>
          <w:sz w:val="20"/>
        </w:rPr>
      </w:pPr>
      <w:bookmarkStart w:id="1729" w:name="ITEM5OTHERINFORMATION_353440"/>
      <w:bookmarkStart w:id="1730" w:name="_aad8a210_1966_42a2_b808_eac4be5e74c8"/>
      <w:bookmarkEnd w:id="1729"/>
      <w:bookmarkEnd w:id="1730"/>
      <w:r>
        <w:rPr>
          <w:rFonts w:ascii="Times New Roman;Times;serif" w:hAnsi="Times New Roman;Times;serif"/>
          <w:b/>
          <w:i w:val="false"/>
          <w:caps w:val="false"/>
          <w:smallCaps w:val="false"/>
          <w:sz w:val="20"/>
        </w:rPr>
        <w:t>ITEM 5.</w:t>
      </w:r>
      <w:r>
        <w:rPr>
          <w:rFonts w:ascii="Times New Roman;Times;serif" w:hAnsi="Times New Roman;Times;serif"/>
          <w:b/>
          <w:sz w:val="20"/>
        </w:rPr>
        <w:t>OTHER INFORMATION</w:t>
      </w:r>
    </w:p>
    <w:p>
      <w:pPr>
        <w:pStyle w:val="TextBody"/>
        <w:spacing w:before="0" w:after="0"/>
        <w:ind w:left="0" w:right="0" w:firstLine="726"/>
        <w:jc w:val="both"/>
        <w:rPr>
          <w:rFonts w:ascii="Times New Roman;Times;serif" w:hAnsi="Times New Roman;Times;serif"/>
          <w:sz w:val="20"/>
        </w:rPr>
      </w:pPr>
      <w:r>
        <w:rPr>
          <w:rFonts w:ascii="Times New Roman;Times;serif" w:hAnsi="Times New Roman;Times;serif"/>
          <w:sz w:val="20"/>
        </w:rPr>
        <w:t>None.</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rFonts w:ascii="Times New Roman;Times;serif" w:hAnsi="Times New Roman;Times;serif"/>
          <w:sz w:val="20"/>
        </w:rPr>
      </w:pPr>
      <w:bookmarkStart w:id="1731" w:name="ITEM6EXHIBITS_20622"/>
      <w:bookmarkStart w:id="1732" w:name="_a55c4892_65f7_454f_b9a0_e383143814fa"/>
      <w:bookmarkEnd w:id="1731"/>
      <w:bookmarkEnd w:id="1732"/>
      <w:r>
        <w:rPr>
          <w:rFonts w:ascii="Times New Roman;Times;serif" w:hAnsi="Times New Roman;Times;serif"/>
          <w:b/>
          <w:i w:val="false"/>
          <w:caps w:val="false"/>
          <w:smallCaps w:val="false"/>
          <w:sz w:val="20"/>
        </w:rPr>
        <w:t>ITEM 6.</w:t>
      </w:r>
      <w:r>
        <w:rPr>
          <w:rFonts w:ascii="Times New Roman;Times;serif" w:hAnsi="Times New Roman;Times;serif"/>
          <w:b/>
          <w:sz w:val="20"/>
        </w:rPr>
        <w:t>EXHIBITS</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493"/>
        <w:gridCol w:w="266"/>
        <w:gridCol w:w="9446"/>
      </w:tblGrid>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266" w:type="dxa"/>
            <w:tcBorders/>
            <w:shd w:fill="auto" w:val="clear"/>
            <w:vAlign w:val="center"/>
          </w:tcPr>
          <w:p>
            <w:pPr>
              <w:pStyle w:val="TableContents"/>
              <w:spacing w:before="0" w:after="0"/>
              <w:ind w:left="0" w:right="0" w:hanging="0"/>
              <w:jc w:val="both"/>
              <w:rPr/>
            </w:pPr>
            <w:r>
              <w:rPr/>
              <w:t>   </w:t>
            </w:r>
          </w:p>
        </w:tc>
        <w:tc>
          <w:tcPr>
            <w:tcW w:w="9446" w:type="dxa"/>
            <w:tcBorders/>
            <w:shd w:fill="auto" w:val="clear"/>
            <w:vAlign w:val="center"/>
          </w:tcPr>
          <w:p>
            <w:pPr>
              <w:pStyle w:val="TableContents"/>
              <w:spacing w:before="0" w:after="0"/>
              <w:ind w:left="0" w:right="0" w:hanging="0"/>
              <w:jc w:val="both"/>
              <w:rPr/>
            </w:pPr>
            <w:hyperlink w:anchor="mnst-20230331xex31d1.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266" w:type="dxa"/>
            <w:tcBorders/>
            <w:shd w:fill="auto" w:val="clear"/>
            <w:vAlign w:val="center"/>
          </w:tcPr>
          <w:p>
            <w:pPr>
              <w:pStyle w:val="TableContents"/>
              <w:spacing w:before="0" w:after="0"/>
              <w:ind w:left="0" w:right="0" w:hanging="0"/>
              <w:rPr/>
            </w:pPr>
            <w:r>
              <w:rPr/>
              <w:t>​</w:t>
            </w:r>
          </w:p>
        </w:tc>
        <w:tc>
          <w:tcPr>
            <w:tcW w:w="9446" w:type="dxa"/>
            <w:tcBorders/>
            <w:shd w:fill="auto" w:val="clear"/>
            <w:vAlign w:val="center"/>
          </w:tcPr>
          <w:p>
            <w:pPr>
              <w:pStyle w:val="TableContents"/>
              <w:spacing w:before="0" w:after="0"/>
              <w:ind w:left="0" w:right="0" w:hanging="0"/>
              <w:rPr/>
            </w:pPr>
            <w:hyperlink w:anchor="mnst-20230331xex31d2.htm">
              <w:r>
                <w:rPr>
                  <w:rStyle w:val="InternetLink"/>
                  <w:rFonts w:ascii="Times New Roman;Times;serif" w:hAnsi="Times New Roman;Times;serif"/>
                  <w:b w:val="false"/>
                  <w:i w:val="false"/>
                  <w:caps w:val="false"/>
                  <w:smallCaps w:val="false"/>
                  <w:sz w:val="20"/>
                </w:rPr>
                <w:t>Certification of Co-Chief Executive Officer Pursuant to Section 302 of the Sarbanes-Oxley Act of 2002</w:t>
              </w:r>
            </w:hyperlink>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31.3*</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hyperlink w:anchor="mnst-20230331xex31d3.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32.1*</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hyperlink w:anchor="mnst-20230331xex32d1.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32.2*</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hyperlink w:anchor="mnst-20230331xex32d2.htm">
              <w:r>
                <w:rPr>
                  <w:rStyle w:val="InternetLink"/>
                  <w:rFonts w:ascii="Times New Roman;Times;serif" w:hAnsi="Times New Roman;Times;serif"/>
                  <w:b w:val="false"/>
                  <w:i w:val="false"/>
                  <w:caps w:val="false"/>
                  <w:smallCaps w:val="false"/>
                  <w:sz w:val="20"/>
                </w:rPr>
                <w:t>Certification of Co-Chief Executive Officer Pursuant to 18 U.S.C. Section 1350, as Adopted Pursuant to Section 906 of the Sarbanes-Oxley Act of 2002</w:t>
              </w:r>
            </w:hyperlink>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32.3*</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hyperlink w:anchor="mnst-20230331xex32d3.htm">
              <w:r>
                <w:rPr>
                  <w:rStyle w:val="InternetLink"/>
                  <w:rFonts w:ascii="Times New Roman;Times;serif" w:hAnsi="Times New Roman;Times;serif"/>
                  <w:b w:val="false"/>
                  <w:i w:val="false"/>
                  <w:caps w:val="false"/>
                  <w:smallCaps w:val="false"/>
                  <w:sz w:val="20"/>
                </w:rPr>
                <w:t>Certification by Chief Financial Officer Pursuant to 18 U.S.C. Section 1350, as Adopted</w:t>
              </w:r>
            </w:hyperlink>
            <w:r>
              <w:rPr>
                <w:rFonts w:ascii="Times New Roman;Times;serif" w:hAnsi="Times New Roman;Times;serif"/>
                <w:sz w:val="20"/>
              </w:rPr>
              <w:t xml:space="preserve"> </w:t>
            </w:r>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financial information from Monster Beverage Corporation’s Quarterly Report on Form 10-Q for the quarter ended March 31, 2023, formatted in iXBRL (Inline eXtensible Business Reporting Language): (i) Condensed Consolidated Balance Sheets as of March 31, 2023 and December 31, 2022, (ii) Condensed Consolidated Statements of Income for the three-months ended March 31, 2023 and 2022, (iii) Condensed Consolidated Statements of Comprehensive Income for the three-months ended March 31, 2023 and 2022, (iv) Condensed Consolidated Statements of Stockholders’ Equity for the three-months ended March 31, 2023 and 2022, (v) Condensed Consolidated Statements of Cash Flows for the three-months ended March 31, 2023 and 2022, and (vi) the Notes to Condensed Consolidated Financial Statements.</w:t>
            </w:r>
          </w:p>
        </w:tc>
      </w:tr>
      <w:tr>
        <w:trPr/>
        <w:tc>
          <w:tcPr>
            <w:tcW w:w="493" w:type="dxa"/>
            <w:tcBorders/>
            <w:shd w:fill="auto" w:val="clear"/>
            <w:vAlign w:val="center"/>
          </w:tcPr>
          <w:p>
            <w:pPr>
              <w:pStyle w:val="TableContents"/>
              <w:spacing w:before="0" w:after="0"/>
              <w:ind w:left="0" w:right="0" w:hanging="0"/>
              <w:rPr/>
            </w:pPr>
            <w:r>
              <w:rPr/>
              <w:t>​</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pPr>
            <w:r>
              <w:rPr/>
              <w:t>​</w:t>
            </w:r>
          </w:p>
        </w:tc>
      </w:tr>
      <w:tr>
        <w:trPr/>
        <w:tc>
          <w:tcPr>
            <w:tcW w:w="493"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266" w:type="dxa"/>
            <w:tcBorders/>
            <w:shd w:fill="auto" w:val="clear"/>
            <w:vAlign w:val="center"/>
          </w:tcPr>
          <w:p>
            <w:pPr>
              <w:pStyle w:val="TableContents"/>
              <w:spacing w:before="0" w:after="0"/>
              <w:ind w:left="0" w:right="0" w:hanging="0"/>
              <w:jc w:val="both"/>
              <w:rPr/>
            </w:pPr>
            <w:r>
              <w:rPr/>
              <w:t>​</w:t>
            </w:r>
          </w:p>
        </w:tc>
        <w:tc>
          <w:tcPr>
            <w:tcW w:w="9446" w:type="dxa"/>
            <w:tcBorders/>
            <w:shd w:fill="auto" w:val="clear"/>
            <w:vAlign w:val="center"/>
          </w:tcPr>
          <w:p>
            <w:pPr>
              <w:pStyle w:val="TableContents"/>
              <w:spacing w:before="0" w:after="0"/>
              <w:ind w:left="0" w:right="0" w:hanging="0"/>
              <w:jc w:val="both"/>
              <w:rPr>
                <w:rFonts w:ascii="Times New Roman;Times;serif" w:hAnsi="Times New Roman;Times;serif"/>
                <w:sz w:val="20"/>
              </w:rPr>
            </w:pPr>
            <w:r>
              <w:rPr>
                <w:rFonts w:ascii="Times New Roman;Times;serif" w:hAnsi="Times New Roman;Times;serif"/>
                <w:sz w:val="20"/>
              </w:rPr>
              <w:t>The cover page from Monster Beverage Corporation’s Quarterly Report on Form 10-Q for the quarter ended March 31, 2023, formatted in iXBRL (Inline eXtensible Business Reporting Language) and contained in Exhibit 101.</w:t>
            </w:r>
          </w:p>
        </w:tc>
      </w:tr>
    </w:tbl>
    <w:p>
      <w:pPr>
        <w:pStyle w:val="TextBody"/>
        <w:spacing w:before="0" w:after="0"/>
        <w:ind w:left="0" w:right="0" w:hanging="0"/>
        <w:rPr/>
      </w:pPr>
      <w:r>
        <w:rPr/>
        <w:t>​</w:t>
      </w:r>
    </w:p>
    <w:p>
      <w:pPr>
        <w:pStyle w:val="TextBody"/>
        <w:spacing w:before="0" w:after="0"/>
        <w:ind w:left="0" w:right="0" w:hanging="0"/>
        <w:jc w:val="both"/>
        <w:rPr>
          <w:rFonts w:ascii="Times New Roman;Times;serif" w:hAnsi="Times New Roman;Times;serif"/>
          <w:sz w:val="20"/>
        </w:rPr>
      </w:pPr>
      <w:r>
        <w:rPr>
          <w:rFonts w:ascii="Times New Roman;Times;serif" w:hAnsi="Times New Roman;Times;serif"/>
          <w:sz w:val="20"/>
        </w:rPr>
        <w:t>*    Filed herewith</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40"/>
        <w:ind w:left="0" w:right="0" w:hanging="0"/>
        <w:jc w:val="center"/>
        <w:rPr>
          <w:rFonts w:ascii="Times New Roman;Times;serif" w:hAnsi="Times New Roman;Times;serif"/>
          <w:b/>
          <w:sz w:val="20"/>
        </w:rPr>
      </w:pPr>
      <w:bookmarkStart w:id="1733" w:name="SIGNATURES_652864"/>
      <w:bookmarkStart w:id="1734" w:name="_3ccfe4ff_89d2_46b3_b6ad_21de7f179048"/>
      <w:bookmarkEnd w:id="1733"/>
      <w:bookmarkEnd w:id="1734"/>
      <w:r>
        <w:rPr>
          <w:rFonts w:ascii="Times New Roman;Times;serif" w:hAnsi="Times New Roman;Times;serif"/>
          <w:b/>
          <w:sz w:val="20"/>
        </w:rPr>
        <w:t>SIGNATURES</w:t>
      </w:r>
    </w:p>
    <w:p>
      <w:pPr>
        <w:pStyle w:val="TextBody"/>
        <w:spacing w:before="0" w:after="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t>​</w:t>
      </w:r>
    </w:p>
    <w:tbl>
      <w:tblPr>
        <w:tblW w:w="5207" w:type="dxa"/>
        <w:jc w:val="left"/>
        <w:tblInd w:w="0" w:type="dxa"/>
        <w:tblCellMar>
          <w:top w:w="0" w:type="dxa"/>
          <w:left w:w="0" w:type="dxa"/>
          <w:bottom w:w="0" w:type="dxa"/>
          <w:right w:w="0" w:type="dxa"/>
        </w:tblCellMar>
      </w:tblPr>
      <w:tblGrid>
        <w:gridCol w:w="1636"/>
        <w:gridCol w:w="3571"/>
      </w:tblGrid>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MONSTER BEVERAGE CORPORATION</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Registrant</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5, 2023</w:t>
            </w:r>
          </w:p>
        </w:tc>
        <w:tc>
          <w:tcPr>
            <w:tcW w:w="35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RODNEY C. SACKS</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Rodney C. Sacks</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Chairman of the Board of Directors</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and Co-Chief Executive Officer</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pPr>
            <w:r>
              <w:rPr/>
              <w:t>​</w:t>
            </w:r>
          </w:p>
        </w:tc>
      </w:tr>
      <w:tr>
        <w:trPr/>
        <w:tc>
          <w:tcPr>
            <w:tcW w:w="163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5, 2023</w:t>
            </w:r>
          </w:p>
        </w:tc>
        <w:tc>
          <w:tcPr>
            <w:tcW w:w="357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HILTON H. SCHLOSBERG</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top w:val="single" w:sz="2" w:space="0" w:color="000000"/>
            </w:tcBorders>
            <w:shd w:fill="auto" w:val="clear"/>
            <w:tcMar>
              <w:top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Hilton H. Schlosberg</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Vice Chairman of the Board of Directors</w:t>
            </w:r>
          </w:p>
        </w:tc>
      </w:tr>
      <w:tr>
        <w:trPr/>
        <w:tc>
          <w:tcPr>
            <w:tcW w:w="1636" w:type="dxa"/>
            <w:tcBorders/>
            <w:shd w:fill="auto" w:val="clear"/>
            <w:vAlign w:val="center"/>
          </w:tcPr>
          <w:p>
            <w:pPr>
              <w:pStyle w:val="TableContents"/>
              <w:spacing w:before="0" w:after="0"/>
              <w:ind w:left="0" w:right="0" w:hanging="0"/>
              <w:rPr/>
            </w:pPr>
            <w:r>
              <w:rPr/>
              <w:t>​</w:t>
            </w:r>
          </w:p>
        </w:tc>
        <w:tc>
          <w:tcPr>
            <w:tcW w:w="35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and Co-Chief Executive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50</w:t>
      </w:r>
      <w:r>
        <w:br w:type="page"/>
      </w:r>
    </w:p>
    <w:p>
      <w:pPr>
        <w:pStyle w:val="TextBody"/>
        <w:spacing w:before="0" w:after="0"/>
        <w:ind w:left="0" w:right="0" w:hanging="0"/>
        <w:jc w:val="right"/>
        <w:rPr>
          <w:rFonts w:ascii="Times New Roman;Times;serif" w:hAnsi="Times New Roman;Times;serif"/>
          <w:b/>
          <w:sz w:val="22"/>
        </w:rPr>
      </w:pPr>
      <w:bookmarkStart w:id="1735" w:name="mnst-20230331xex31d1.htm"/>
      <w:bookmarkStart w:id="1736" w:name="ksmnst20230331xex31d1"/>
      <w:bookmarkEnd w:id="1735"/>
      <w:bookmarkEnd w:id="1736"/>
      <w:r>
        <w:rPr>
          <w:rFonts w:ascii="Times New Roman;Times;serif" w:hAnsi="Times New Roman;Times;serif"/>
          <w:b/>
          <w:sz w:val="22"/>
        </w:rPr>
        <w:t>EXHIBIT 31.1</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Rodney Sacks, certify that:</w:t>
      </w:r>
    </w:p>
    <w:p>
      <w:pPr>
        <w:pStyle w:val="TextBody"/>
        <w:spacing w:before="0" w:after="0"/>
        <w:ind w:left="0" w:right="0" w:hanging="0"/>
        <w:rPr/>
      </w:pPr>
      <w:r>
        <w:rPr/>
        <w:t>​</w:t>
      </w:r>
    </w:p>
    <w:tbl>
      <w:tblPr>
        <w:tblW w:w="8290" w:type="dxa"/>
        <w:jc w:val="left"/>
        <w:tblInd w:w="0" w:type="dxa"/>
        <w:tblCellMar>
          <w:top w:w="0" w:type="dxa"/>
          <w:left w:w="0" w:type="dxa"/>
          <w:bottom w:w="0" w:type="dxa"/>
          <w:right w:w="0" w:type="dxa"/>
        </w:tblCellMar>
      </w:tblPr>
      <w:tblGrid>
        <w:gridCol w:w="200"/>
        <w:gridCol w:w="809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809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quarterly report on Form 10-Q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36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04"/>
        <w:gridCol w:w="10001"/>
      </w:tblGrid>
      <w:tr>
        <w:trPr/>
        <w:tc>
          <w:tcPr>
            <w:tcW w:w="20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5.  </w:t>
            </w:r>
          </w:p>
        </w:tc>
        <w:tc>
          <w:tcPr>
            <w:tcW w:w="1000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center"/>
        <w:rPr/>
      </w:pPr>
      <w:r>
        <w:rPr/>
        <w:t>​</w:t>
      </w:r>
    </w:p>
    <w:tbl>
      <w:tblPr>
        <w:tblW w:w="5388" w:type="dxa"/>
        <w:jc w:val="left"/>
        <w:tblInd w:w="0" w:type="dxa"/>
        <w:tblCellMar>
          <w:top w:w="0" w:type="dxa"/>
          <w:left w:w="0" w:type="dxa"/>
          <w:bottom w:w="0" w:type="dxa"/>
          <w:right w:w="0" w:type="dxa"/>
        </w:tblCellMar>
      </w:tblPr>
      <w:tblGrid>
        <w:gridCol w:w="616"/>
        <w:gridCol w:w="1306"/>
        <w:gridCol w:w="3466"/>
      </w:tblGrid>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pPr>
            <w:r>
              <w:rPr/>
              <w:t>​</w:t>
            </w:r>
          </w:p>
        </w:tc>
      </w:tr>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Rodney C. Sacks</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Rodney C. Sacks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Chairman of the Board of Directors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737" w:name="mnst-20230331xex31d2.htm"/>
      <w:bookmarkStart w:id="1738" w:name="ksmnst20230331xex31d2"/>
      <w:bookmarkEnd w:id="1737"/>
      <w:bookmarkEnd w:id="1738"/>
      <w:r>
        <w:rPr>
          <w:rFonts w:ascii="Times New Roman;Times;serif" w:hAnsi="Times New Roman;Times;serif"/>
          <w:b/>
          <w:sz w:val="22"/>
        </w:rPr>
        <w:t>EXHIBIT 31.2</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Hilton Schlosberg, certify that:</w:t>
      </w:r>
    </w:p>
    <w:p>
      <w:pPr>
        <w:pStyle w:val="TextBody"/>
        <w:spacing w:before="0" w:after="0"/>
        <w:ind w:left="0" w:right="0" w:hanging="0"/>
        <w:rPr/>
      </w:pPr>
      <w:r>
        <w:rPr/>
        <w:t>​</w:t>
      </w:r>
    </w:p>
    <w:tbl>
      <w:tblPr>
        <w:tblW w:w="8290" w:type="dxa"/>
        <w:jc w:val="left"/>
        <w:tblInd w:w="0" w:type="dxa"/>
        <w:tblCellMar>
          <w:top w:w="0" w:type="dxa"/>
          <w:left w:w="0" w:type="dxa"/>
          <w:bottom w:w="0" w:type="dxa"/>
          <w:right w:w="0" w:type="dxa"/>
        </w:tblCellMar>
      </w:tblPr>
      <w:tblGrid>
        <w:gridCol w:w="200"/>
        <w:gridCol w:w="809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809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quarterly report on Form 10-Q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w:t>
            </w:r>
          </w:p>
        </w:tc>
        <w:tc>
          <w:tcPr>
            <w:tcW w:w="1004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center"/>
        <w:rPr/>
      </w:pPr>
      <w:r>
        <w:rPr/>
        <w:t>​</w:t>
      </w:r>
    </w:p>
    <w:tbl>
      <w:tblPr>
        <w:tblW w:w="8913" w:type="dxa"/>
        <w:jc w:val="left"/>
        <w:tblInd w:w="0" w:type="dxa"/>
        <w:tblCellMar>
          <w:top w:w="0" w:type="dxa"/>
          <w:left w:w="0" w:type="dxa"/>
          <w:bottom w:w="0" w:type="dxa"/>
          <w:right w:w="0" w:type="dxa"/>
        </w:tblCellMar>
      </w:tblPr>
      <w:tblGrid>
        <w:gridCol w:w="616"/>
        <w:gridCol w:w="1306"/>
        <w:gridCol w:w="6991"/>
      </w:tblGrid>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6991" w:type="dxa"/>
            <w:tcBorders/>
            <w:shd w:fill="auto" w:val="clear"/>
            <w:vAlign w:val="center"/>
          </w:tcPr>
          <w:p>
            <w:pPr>
              <w:pStyle w:val="TableContents"/>
              <w:spacing w:before="0" w:after="0"/>
              <w:ind w:left="0" w:right="0" w:hanging="0"/>
              <w:rPr/>
            </w:pPr>
            <w:r>
              <w:rPr/>
              <w:t>​</w:t>
            </w:r>
          </w:p>
        </w:tc>
      </w:tr>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69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Hilton H. Schlosberg</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6991"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Hilton H. Schlosberg</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Vice Chairman of the Board of Directors 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2"/>
        </w:rPr>
      </w:pPr>
      <w:bookmarkStart w:id="1739" w:name="mnst-20230331xex31d3.htm"/>
      <w:bookmarkStart w:id="1740" w:name="ksmnst20230331xex31d3"/>
      <w:bookmarkEnd w:id="1739"/>
      <w:bookmarkEnd w:id="1740"/>
      <w:r>
        <w:rPr>
          <w:rFonts w:ascii="Times New Roman;Times;serif" w:hAnsi="Times New Roman;Times;serif"/>
          <w:b/>
          <w:sz w:val="22"/>
        </w:rPr>
        <w:t>EXHIBIT 31.3</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 RULE 13A-14(a) OR 15D-14(a) OF THE SECURITIES</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EXCHANGE ACT OF 1934, AS ADOPTED PURSUANT TO SECTION 302 OF THE</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SARBANES-OXLEY ACT OF 2002</w:t>
      </w:r>
    </w:p>
    <w:p>
      <w:pPr>
        <w:pStyle w:val="TextBody"/>
        <w:spacing w:before="0" w:after="0"/>
        <w:ind w:left="0" w:right="0" w:hanging="0"/>
        <w:rPr/>
      </w:pPr>
      <w:r>
        <w:rPr/>
        <w:t>​</w:t>
      </w:r>
    </w:p>
    <w:p>
      <w:pPr>
        <w:pStyle w:val="TextBody"/>
        <w:spacing w:before="0" w:after="0"/>
        <w:ind w:left="0" w:right="0" w:hanging="0"/>
        <w:rPr>
          <w:rFonts w:ascii="Times New Roman;Times;serif" w:hAnsi="Times New Roman;Times;serif"/>
          <w:sz w:val="22"/>
        </w:rPr>
      </w:pPr>
      <w:r>
        <w:rPr>
          <w:rFonts w:ascii="Times New Roman;Times;serif" w:hAnsi="Times New Roman;Times;serif"/>
          <w:sz w:val="22"/>
        </w:rPr>
        <w:t>I, Thomas Kelly, certify that:</w:t>
      </w:r>
    </w:p>
    <w:p>
      <w:pPr>
        <w:pStyle w:val="TextBody"/>
        <w:spacing w:before="0" w:after="0"/>
        <w:ind w:left="0" w:right="0" w:hanging="0"/>
        <w:rPr/>
      </w:pPr>
      <w:r>
        <w:rPr/>
        <w:t>​</w:t>
      </w:r>
    </w:p>
    <w:tbl>
      <w:tblPr>
        <w:tblW w:w="8290" w:type="dxa"/>
        <w:jc w:val="left"/>
        <w:tblInd w:w="0" w:type="dxa"/>
        <w:tblCellMar>
          <w:top w:w="0" w:type="dxa"/>
          <w:left w:w="0" w:type="dxa"/>
          <w:bottom w:w="0" w:type="dxa"/>
          <w:right w:w="0" w:type="dxa"/>
        </w:tblCellMar>
      </w:tblPr>
      <w:tblGrid>
        <w:gridCol w:w="200"/>
        <w:gridCol w:w="8090"/>
      </w:tblGrid>
      <w:tr>
        <w:trPr/>
        <w:tc>
          <w:tcPr>
            <w:tcW w:w="2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809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I have reviewed this quarterly report on Form 10-Q of Monster Beverage Corporation;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9"/>
        <w:gridCol w:w="10046"/>
      </w:tblGrid>
      <w:tr>
        <w:trPr/>
        <w:tc>
          <w:tcPr>
            <w:tcW w:w="159"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2.</w:t>
            </w:r>
          </w:p>
        </w:tc>
        <w:tc>
          <w:tcPr>
            <w:tcW w:w="10046"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w:t>
      </w:r>
    </w:p>
    <w:tbl>
      <w:tblPr>
        <w:tblW w:w="10205" w:type="dxa"/>
        <w:jc w:val="left"/>
        <w:tblInd w:w="0" w:type="dxa"/>
        <w:tblCellMar>
          <w:top w:w="0" w:type="dxa"/>
          <w:left w:w="0" w:type="dxa"/>
          <w:bottom w:w="0" w:type="dxa"/>
          <w:right w:w="0" w:type="dxa"/>
        </w:tblCellMar>
      </w:tblPr>
      <w:tblGrid>
        <w:gridCol w:w="162"/>
        <w:gridCol w:w="10043"/>
      </w:tblGrid>
      <w:tr>
        <w:trPr/>
        <w:tc>
          <w:tcPr>
            <w:tcW w:w="16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3.</w:t>
            </w:r>
          </w:p>
        </w:tc>
        <w:tc>
          <w:tcPr>
            <w:tcW w:w="10043"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158"/>
        <w:gridCol w:w="10047"/>
      </w:tblGrid>
      <w:tr>
        <w:trPr/>
        <w:tc>
          <w:tcPr>
            <w:tcW w:w="158"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4.</w:t>
            </w:r>
          </w:p>
        </w:tc>
        <w:tc>
          <w:tcPr>
            <w:tcW w:w="1004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36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c.</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pBdr/>
        <w:spacing w:before="0" w:after="0"/>
        <w:ind w:left="1440" w:right="0" w:hanging="360"/>
        <w:jc w:val="both"/>
        <w:rPr/>
      </w:pPr>
      <w:r>
        <w:rPr/>
        <w:t>​</w:t>
      </w:r>
    </w:p>
    <w:tbl>
      <w:tblPr>
        <w:tblW w:w="10205" w:type="dxa"/>
        <w:jc w:val="left"/>
        <w:tblInd w:w="0" w:type="dxa"/>
        <w:tblCellMar>
          <w:top w:w="0" w:type="dxa"/>
          <w:left w:w="0" w:type="dxa"/>
          <w:bottom w:w="0" w:type="dxa"/>
          <w:right w:w="0" w:type="dxa"/>
        </w:tblCellMar>
      </w:tblPr>
      <w:tblGrid>
        <w:gridCol w:w="161"/>
        <w:gridCol w:w="10044"/>
      </w:tblGrid>
      <w:tr>
        <w:trPr/>
        <w:tc>
          <w:tcPr>
            <w:tcW w:w="161"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5.</w:t>
            </w:r>
          </w:p>
        </w:tc>
        <w:tc>
          <w:tcPr>
            <w:tcW w:w="10044"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5"/>
        <w:gridCol w:w="9997"/>
      </w:tblGrid>
      <w:tr>
        <w:trPr/>
        <w:tc>
          <w:tcPr>
            <w:tcW w:w="2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w:t>
            </w:r>
          </w:p>
        </w:tc>
        <w:tc>
          <w:tcPr>
            <w:tcW w:w="9997"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1440" w:right="0" w:hanging="0"/>
        <w:jc w:val="both"/>
        <w:rPr/>
      </w:pPr>
      <w:r>
        <w:rPr/>
        <w:t>​</w:t>
      </w:r>
    </w:p>
    <w:tbl>
      <w:tblPr>
        <w:tblW w:w="10205" w:type="dxa"/>
        <w:jc w:val="left"/>
        <w:tblInd w:w="0" w:type="dxa"/>
        <w:tblCellMar>
          <w:top w:w="0" w:type="dxa"/>
          <w:left w:w="0" w:type="dxa"/>
          <w:bottom w:w="0" w:type="dxa"/>
          <w:right w:w="0" w:type="dxa"/>
        </w:tblCellMar>
      </w:tblPr>
      <w:tblGrid>
        <w:gridCol w:w="23"/>
        <w:gridCol w:w="200"/>
        <w:gridCol w:w="9982"/>
      </w:tblGrid>
      <w:tr>
        <w:trPr/>
        <w:tc>
          <w:tcPr>
            <w:tcW w:w="2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b.</w:t>
            </w:r>
          </w:p>
        </w:tc>
        <w:tc>
          <w:tcPr>
            <w:tcW w:w="9982" w:type="dxa"/>
            <w:tcBorders/>
            <w:shd w:fill="auto" w:val="clear"/>
            <w:vAlign w:val="center"/>
          </w:tcPr>
          <w:p>
            <w:pPr>
              <w:pStyle w:val="TableContents"/>
              <w:spacing w:before="0" w:after="0"/>
              <w:jc w:val="both"/>
              <w:rPr>
                <w:rFonts w:ascii="Times New Roman;Times;serif" w:hAnsi="Times New Roman;Times;serif"/>
                <w:sz w:val="22"/>
              </w:rPr>
            </w:pPr>
            <w:r>
              <w:rPr>
                <w:rFonts w:ascii="Times New Roman;Times;serif" w:hAnsi="Times New Roman;Times;serif"/>
                <w:sz w:val="22"/>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t>​</w:t>
      </w:r>
    </w:p>
    <w:tbl>
      <w:tblPr>
        <w:tblW w:w="4218" w:type="dxa"/>
        <w:jc w:val="left"/>
        <w:tblInd w:w="0" w:type="dxa"/>
        <w:tblCellMar>
          <w:top w:w="0" w:type="dxa"/>
          <w:left w:w="0" w:type="dxa"/>
          <w:bottom w:w="0" w:type="dxa"/>
          <w:right w:w="0" w:type="dxa"/>
        </w:tblCellMar>
      </w:tblPr>
      <w:tblGrid>
        <w:gridCol w:w="616"/>
        <w:gridCol w:w="1306"/>
        <w:gridCol w:w="2296"/>
      </w:tblGrid>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pPr>
            <w:r>
              <w:rPr/>
              <w:t>​</w:t>
            </w:r>
          </w:p>
        </w:tc>
      </w:tr>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Thomas J. Kelly</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Thomas J. Kelly</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Chief Financial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741" w:name="mnst-20230331xex32d1.htm"/>
      <w:bookmarkStart w:id="1742" w:name="ksmnst20230331xex32d1"/>
      <w:bookmarkEnd w:id="1741"/>
      <w:bookmarkEnd w:id="1742"/>
      <w:r>
        <w:rPr>
          <w:rFonts w:ascii="Times New Roman;Times;serif" w:hAnsi="Times New Roman;Times;serif"/>
          <w:b/>
          <w:sz w:val="24"/>
        </w:rPr>
        <w:t>EXHIBIT 32.1</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of Monster Beverage Corporation (the “Company”) on Form 10-Q for the quarter ended March 31, 2023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5388" w:type="dxa"/>
        <w:jc w:val="left"/>
        <w:tblInd w:w="0" w:type="dxa"/>
        <w:tblCellMar>
          <w:top w:w="0" w:type="dxa"/>
          <w:left w:w="0" w:type="dxa"/>
          <w:bottom w:w="0" w:type="dxa"/>
          <w:right w:w="0" w:type="dxa"/>
        </w:tblCellMar>
      </w:tblPr>
      <w:tblGrid>
        <w:gridCol w:w="616"/>
        <w:gridCol w:w="1306"/>
        <w:gridCol w:w="3466"/>
      </w:tblGrid>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pPr>
            <w:r>
              <w:rPr/>
              <w:t>​</w:t>
            </w:r>
          </w:p>
        </w:tc>
      </w:tr>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346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Rodney C. Sacks</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346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Rodney C. Sacks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Chairman of the Board of Directors</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743" w:name="mnst-20230331xex32d2.htm"/>
      <w:bookmarkStart w:id="1744" w:name="ksmnst20230331xex32d2"/>
      <w:bookmarkEnd w:id="1743"/>
      <w:bookmarkEnd w:id="1744"/>
      <w:r>
        <w:rPr>
          <w:rFonts w:ascii="Times New Roman;Times;serif" w:hAnsi="Times New Roman;Times;serif"/>
          <w:b/>
          <w:sz w:val="24"/>
        </w:rPr>
        <w:t>EXHIBIT 32.2</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of Monster Beverage Corporation (the “Company”) on Form 10-Q for the quarter ended March 31, 2023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8913" w:type="dxa"/>
        <w:jc w:val="left"/>
        <w:tblInd w:w="0" w:type="dxa"/>
        <w:tblCellMar>
          <w:top w:w="0" w:type="dxa"/>
          <w:left w:w="0" w:type="dxa"/>
          <w:bottom w:w="0" w:type="dxa"/>
          <w:right w:w="0" w:type="dxa"/>
        </w:tblCellMar>
      </w:tblPr>
      <w:tblGrid>
        <w:gridCol w:w="616"/>
        <w:gridCol w:w="1306"/>
        <w:gridCol w:w="6991"/>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6991"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Hilton H. Schlosberg</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6991"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Hilton H. Schlosberg</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Vice Chairman of the Board of Directors and Co-Chief Executive Officer</w:t>
            </w:r>
          </w:p>
        </w:tc>
      </w:tr>
    </w:tbl>
    <w:p>
      <w:pPr>
        <w:pStyle w:val="TextBody"/>
        <w:spacing w:before="0" w:after="0"/>
        <w:ind w:left="0" w:right="0" w:hanging="0"/>
        <w:rPr/>
      </w:pPr>
      <w:r>
        <w:rPr/>
        <w:t>​</w:t>
      </w:r>
    </w:p>
    <w:p>
      <w:pPr>
        <w:pStyle w:val="HorizontalLine"/>
        <w:rPr/>
      </w:pPr>
      <w:r>
        <w:rPr/>
      </w:r>
      <w:r>
        <w:br w:type="page"/>
      </w:r>
    </w:p>
    <w:p>
      <w:pPr>
        <w:pStyle w:val="TextBody"/>
        <w:spacing w:before="0" w:after="0"/>
        <w:ind w:left="0" w:right="0" w:hanging="0"/>
        <w:jc w:val="right"/>
        <w:rPr>
          <w:rFonts w:ascii="Times New Roman;Times;serif" w:hAnsi="Times New Roman;Times;serif"/>
          <w:b/>
          <w:sz w:val="24"/>
        </w:rPr>
      </w:pPr>
      <w:bookmarkStart w:id="1745" w:name="mnst-20230331xex32d3.htm"/>
      <w:bookmarkStart w:id="1746" w:name="ksmnst20230331xex32d3"/>
      <w:bookmarkEnd w:id="1745"/>
      <w:bookmarkEnd w:id="1746"/>
      <w:r>
        <w:rPr>
          <w:rFonts w:ascii="Times New Roman;Times;serif" w:hAnsi="Times New Roman;Times;serif"/>
          <w:b/>
          <w:sz w:val="24"/>
        </w:rPr>
        <w:t>EXHIBIT 32.3</w:t>
      </w:r>
    </w:p>
    <w:p>
      <w:pPr>
        <w:pStyle w:val="TextBody"/>
        <w:spacing w:before="0" w:after="0"/>
        <w:ind w:left="0" w:right="0" w:hanging="0"/>
        <w:jc w:val="center"/>
        <w:rPr/>
      </w:pPr>
      <w:r>
        <w:rPr/>
        <w:t>​</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CERTIFICATION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18 U.S.C. SECTION 1350,</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AS ADOPTED PURSUANT TO</w:t>
      </w:r>
    </w:p>
    <w:p>
      <w:pPr>
        <w:pStyle w:val="TextBody"/>
        <w:spacing w:before="0" w:after="0"/>
        <w:ind w:left="0" w:right="0" w:hanging="0"/>
        <w:jc w:val="center"/>
        <w:rPr>
          <w:rFonts w:ascii="Times New Roman;Times;serif" w:hAnsi="Times New Roman;Times;serif"/>
          <w:sz w:val="22"/>
        </w:rPr>
      </w:pPr>
      <w:r>
        <w:rPr>
          <w:rFonts w:ascii="Times New Roman;Times;serif" w:hAnsi="Times New Roman;Times;serif"/>
          <w:sz w:val="22"/>
        </w:rPr>
        <w:t>SECTION 906 OF THE SARBANES-OXLEY ACT OF 2002</w:t>
      </w:r>
    </w:p>
    <w:p>
      <w:pPr>
        <w:pStyle w:val="TextBody"/>
        <w:spacing w:before="0" w:after="0"/>
        <w:ind w:left="0" w:right="0" w:hanging="0"/>
        <w:jc w:val="center"/>
        <w:rPr/>
      </w:pPr>
      <w:r>
        <w:rPr/>
        <w:t>​</w:t>
      </w:r>
    </w:p>
    <w:p>
      <w:pPr>
        <w:pStyle w:val="TextBody"/>
        <w:spacing w:before="0" w:after="0"/>
        <w:ind w:left="0" w:right="0" w:hanging="0"/>
        <w:jc w:val="both"/>
        <w:rPr>
          <w:rFonts w:ascii="Times New Roman;Times;serif" w:hAnsi="Times New Roman;Times;serif"/>
          <w:sz w:val="22"/>
        </w:rPr>
      </w:pPr>
      <w:r>
        <w:rPr>
          <w:rFonts w:ascii="Times New Roman;Times;serif" w:hAnsi="Times New Roman;Times;serif"/>
          <w:sz w:val="22"/>
        </w:rPr>
        <w:t>In connection with the quarterly report of Monster Beverage Corporation (the “Company”) on Form 10-Q for the quarter ended March 31, 2023 as filed with the Securities and Exchange Commission (the “Report”), the undersigned, Thomas J. Kelly, Chief Financial Officer of the Company, certifies, pursuant to 18 U.S.C. 1350, as adopted pursuant to Section 906 of the Sarbanes-Oxley Act of 2002, that:</w:t>
      </w:r>
    </w:p>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93"/>
        <w:gridCol w:w="9989"/>
      </w:tblGrid>
      <w:tr>
        <w:trPr/>
        <w:tc>
          <w:tcPr>
            <w:tcW w:w="23" w:type="dxa"/>
            <w:tcBorders/>
            <w:shd w:fill="auto" w:val="clear"/>
            <w:vAlign w:val="center"/>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1.</w:t>
            </w:r>
          </w:p>
        </w:tc>
        <w:tc>
          <w:tcPr>
            <w:tcW w:w="9989"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Report fully complies with the requirements of Section 13(a) or 15(d) of the Securities Exchange Act of 1934; and</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3"/>
        <w:gridCol w:w="182"/>
        <w:gridCol w:w="10000"/>
      </w:tblGrid>
      <w:tr>
        <w:trPr/>
        <w:tc>
          <w:tcPr>
            <w:tcW w:w="23"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2.</w:t>
            </w:r>
          </w:p>
        </w:tc>
        <w:tc>
          <w:tcPr>
            <w:tcW w:w="10000" w:type="dxa"/>
            <w:tcBorders/>
            <w:shd w:fill="auto" w:val="clear"/>
            <w:vAlign w:val="center"/>
          </w:tcPr>
          <w:p>
            <w:pPr>
              <w:pStyle w:val="TableContents"/>
              <w:spacing w:before="0" w:after="0"/>
              <w:rPr>
                <w:rFonts w:ascii="Times New Roman;Times;serif" w:hAnsi="Times New Roman;Times;serif"/>
                <w:sz w:val="22"/>
              </w:rPr>
            </w:pPr>
            <w:r>
              <w:rPr>
                <w:rFonts w:ascii="Times New Roman;Times;serif" w:hAnsi="Times New Roman;Times;serif"/>
                <w:sz w:val="22"/>
              </w:rPr>
              <w:t>The information contained in the Report fairly presents, in all material respects, the financial condition and results of operations of the Company.</w:t>
            </w:r>
          </w:p>
        </w:tc>
      </w:tr>
    </w:tbl>
    <w:p>
      <w:pPr>
        <w:pStyle w:val="TextBody"/>
        <w:spacing w:before="0" w:after="0"/>
        <w:ind w:left="0" w:right="0" w:hanging="0"/>
        <w:rPr/>
      </w:pPr>
      <w:r>
        <w:rPr/>
        <w:t>​</w:t>
      </w:r>
    </w:p>
    <w:tbl>
      <w:tblPr>
        <w:tblW w:w="4218" w:type="dxa"/>
        <w:jc w:val="left"/>
        <w:tblInd w:w="0" w:type="dxa"/>
        <w:tblCellMar>
          <w:top w:w="0" w:type="dxa"/>
          <w:left w:w="0" w:type="dxa"/>
          <w:bottom w:w="0" w:type="dxa"/>
          <w:right w:w="0" w:type="dxa"/>
        </w:tblCellMar>
      </w:tblPr>
      <w:tblGrid>
        <w:gridCol w:w="616"/>
        <w:gridCol w:w="1306"/>
        <w:gridCol w:w="2296"/>
      </w:tblGrid>
      <w:tr>
        <w:trPr/>
        <w:tc>
          <w:tcPr>
            <w:tcW w:w="61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Date:</w:t>
            </w:r>
          </w:p>
        </w:tc>
        <w:tc>
          <w:tcPr>
            <w:tcW w:w="130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May 5, 2023</w:t>
            </w:r>
          </w:p>
        </w:tc>
        <w:tc>
          <w:tcPr>
            <w:tcW w:w="229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/s/ Thomas J. Kelly</w:t>
            </w:r>
          </w:p>
        </w:tc>
      </w:tr>
      <w:tr>
        <w:trPr/>
        <w:tc>
          <w:tcPr>
            <w:tcW w:w="61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rPr/>
            </w:pPr>
            <w:r>
              <w:rPr/>
              <w:t>​</w:t>
            </w:r>
          </w:p>
        </w:tc>
        <w:tc>
          <w:tcPr>
            <w:tcW w:w="2296" w:type="dxa"/>
            <w:tcBorders/>
            <w:shd w:fill="auto" w:val="clear"/>
            <w:vAlign w:val="center"/>
          </w:tcPr>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Thomas J. Kelly</w:t>
            </w:r>
          </w:p>
          <w:p>
            <w:pPr>
              <w:pStyle w:val="TableContents"/>
              <w:spacing w:before="0" w:after="0"/>
              <w:ind w:left="0" w:right="0" w:hanging="0"/>
              <w:rPr>
                <w:rFonts w:ascii="Times New Roman;Times;serif" w:hAnsi="Times New Roman;Times;serif"/>
                <w:sz w:val="22"/>
              </w:rPr>
            </w:pPr>
            <w:r>
              <w:rPr>
                <w:rFonts w:ascii="Times New Roman;Times;serif" w:hAnsi="Times New Roman;Times;serif"/>
                <w:sz w:val="22"/>
              </w:rPr>
              <w:t>Chief Financial Officer</w:t>
            </w:r>
          </w:p>
        </w:tc>
      </w:tr>
    </w:tbl>
    <w:p>
      <w:pPr>
        <w:pStyle w:val="TextBody"/>
        <w:spacing w:before="0" w:after="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Tms Rmn">
    <w:altName w:val="Times New Roman"/>
    <w:charset w:val="00"/>
    <w:family w:val="auto"/>
    <w:pitch w:val="default"/>
  </w:font>
  <w:font w:name="Calibri">
    <w:altName w:val="Helvetica"/>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24179</Words>
  <CharactersWithSpaces>164055</CharactersWithSpaces>
  <Paragraphs>7576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